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ascii="Microsoft YaHei UI" w:hAnsi="Microsoft YaHei UI" w:eastAsia="Microsoft YaHei UI" w:cs="Microsoft YaHei UI"/>
          <w:i w:val="0"/>
          <w:caps w:val="0"/>
          <w:spacing w:val="8"/>
          <w:sz w:val="25"/>
          <w:szCs w:val="25"/>
        </w:rPr>
      </w:pPr>
      <w:bookmarkStart w:id="0" w:name="_GoBack"/>
      <w:r>
        <w:rPr>
          <w:rStyle w:val="5"/>
          <w:rFonts w:hint="eastAsia" w:ascii="Microsoft YaHei UI" w:hAnsi="Microsoft YaHei UI" w:eastAsia="Microsoft YaHei UI" w:cs="Microsoft YaHei UI"/>
          <w:i w:val="0"/>
          <w:caps w:val="0"/>
          <w:spacing w:val="8"/>
          <w:sz w:val="25"/>
          <w:szCs w:val="25"/>
          <w:bdr w:val="none" w:color="auto" w:sz="0" w:space="0"/>
          <w:shd w:val="clear" w:fill="FFFFFF"/>
        </w:rPr>
        <w:t>自然资源部办公厅关于进一步加强不动产登记便民利民窗口建设的通知</w:t>
      </w:r>
    </w:p>
    <w:bookmarkEnd w:id="0"/>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pacing w:val="8"/>
          <w:bdr w:val="none" w:color="auto" w:sz="0" w:space="0"/>
        </w:rPr>
        <w:t>自然资办函〔2024〕1319号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ind w:firstLine="508" w:firstLineChars="200"/>
        <w:rPr>
          <w:rFonts w:ascii="宋体" w:hAnsi="宋体" w:eastAsia="宋体" w:cs="宋体"/>
          <w:spacing w:val="9"/>
          <w:sz w:val="24"/>
          <w:szCs w:val="24"/>
          <w:bdr w:val="none" w:color="auto" w:sz="0" w:space="0"/>
        </w:rPr>
      </w:pPr>
      <w:r>
        <w:rPr>
          <w:rFonts w:ascii="宋体" w:hAnsi="宋体" w:eastAsia="宋体" w:cs="宋体"/>
          <w:spacing w:val="7"/>
          <w:sz w:val="24"/>
          <w:szCs w:val="24"/>
          <w:bdr w:val="none" w:color="auto" w:sz="0" w:space="0"/>
        </w:rPr>
        <w:t>各省、自治区、直辖市自然资源主管部门，新疆生产建设兵团自然资源局： </w:t>
      </w:r>
      <w:r>
        <w:rPr>
          <w:rFonts w:ascii="宋体" w:hAnsi="宋体" w:eastAsia="宋体" w:cs="宋体"/>
          <w:spacing w:val="9"/>
          <w:sz w:val="24"/>
          <w:szCs w:val="24"/>
          <w:bdr w:val="none" w:color="auto" w:sz="0" w:space="0"/>
        </w:rPr>
        <w:t>为深入践行以人民为中心的发展思想，持续深化不动产登记队伍作风常态化建设，落实2024年全国自然资源工作会议关于进一步加强不动产登记便民利民窗口建设的部署，不断提升登记服务质量和水平。现将有关事项通知如下： </w:t>
      </w:r>
    </w:p>
    <w:p>
      <w:pPr>
        <w:rPr>
          <w:rFonts w:ascii="宋体" w:hAnsi="宋体" w:eastAsia="宋体" w:cs="宋体"/>
          <w:spacing w:val="9"/>
          <w:sz w:val="24"/>
          <w:szCs w:val="24"/>
          <w:bdr w:val="none" w:color="auto" w:sz="0" w:space="0"/>
        </w:rPr>
      </w:pPr>
    </w:p>
    <w:p>
      <w:pPr>
        <w:numPr>
          <w:ilvl w:val="0"/>
          <w:numId w:val="1"/>
        </w:numPr>
        <w:ind w:firstLine="548" w:firstLineChars="200"/>
        <w:rPr>
          <w:rFonts w:ascii="宋体" w:hAnsi="宋体" w:eastAsia="宋体" w:cs="宋体"/>
          <w:spacing w:val="9"/>
          <w:sz w:val="25"/>
          <w:szCs w:val="25"/>
          <w:u w:val="none"/>
          <w:bdr w:val="none" w:color="auto" w:sz="0" w:space="0"/>
        </w:rPr>
      </w:pPr>
      <w:r>
        <w:rPr>
          <w:rStyle w:val="5"/>
          <w:rFonts w:ascii="宋体" w:hAnsi="宋体" w:eastAsia="宋体" w:cs="宋体"/>
          <w:spacing w:val="9"/>
          <w:sz w:val="25"/>
          <w:szCs w:val="25"/>
          <w:u w:val="none"/>
          <w:bdr w:val="none" w:color="auto" w:sz="0" w:space="0"/>
        </w:rPr>
        <w:t>建设内容</w:t>
      </w:r>
      <w:r>
        <w:rPr>
          <w:rFonts w:ascii="宋体" w:hAnsi="宋体" w:eastAsia="宋体" w:cs="宋体"/>
          <w:spacing w:val="9"/>
          <w:sz w:val="25"/>
          <w:szCs w:val="25"/>
          <w:u w:val="none"/>
          <w:bdr w:val="none" w:color="auto" w:sz="0" w:space="0"/>
        </w:rPr>
        <w:t>坚持需求导向和问题导向，聚焦服务企业和群众最直接、最密切的环节，按照《不动产登记窗口建设标准》（见附件），重点围绕完善登记大厅设置、增强窗口服务意识、提升窗口服务能力、提高管理水平、创新窗口服务举措、严守工作底线等六个方面，进一步加强不动产登记便民利民窗口建设。推动窗口设置更加合理，登记流程更加科学，服务模式更加优化，制度规范更加健全，工作效能更加优质，作风素质更加过硬，有效提升办事企业和群众的获得感和满意度。</w:t>
      </w:r>
    </w:p>
    <w:p>
      <w:pPr>
        <w:numPr>
          <w:ilvl w:val="0"/>
          <w:numId w:val="2"/>
        </w:numPr>
        <w:ind w:firstLine="546" w:firstLineChars="200"/>
        <w:rPr>
          <w:rFonts w:ascii="宋体" w:hAnsi="宋体" w:eastAsia="宋体" w:cs="宋体"/>
          <w:spacing w:val="9"/>
          <w:sz w:val="25"/>
          <w:szCs w:val="25"/>
          <w:u w:val="none"/>
          <w:bdr w:val="none" w:color="auto" w:sz="0" w:space="0"/>
        </w:rPr>
      </w:pPr>
      <w:r>
        <w:rPr>
          <w:rFonts w:ascii="宋体" w:hAnsi="宋体" w:eastAsia="宋体" w:cs="宋体"/>
          <w:spacing w:val="9"/>
          <w:sz w:val="25"/>
          <w:szCs w:val="25"/>
          <w:u w:val="none"/>
          <w:bdr w:val="none" w:color="auto" w:sz="0" w:space="0"/>
        </w:rPr>
        <w:t>完善登记大厅设置。以功能布局完整、窗口设置科学、办事环境舒适为重点，实现大厅功能分区合理，硬件设施配置完善，窗口分类、数量设置科学，岗位职责分工合理，人员配备高效，大厅运转顺畅，有效满足登记业务日常办理需求。</w:t>
      </w:r>
    </w:p>
    <w:p>
      <w:pPr>
        <w:numPr>
          <w:ilvl w:val="0"/>
          <w:numId w:val="2"/>
        </w:numPr>
        <w:ind w:left="0" w:leftChars="0" w:firstLine="546" w:firstLineChars="200"/>
        <w:rPr>
          <w:rFonts w:ascii="宋体" w:hAnsi="宋体" w:eastAsia="宋体" w:cs="宋体"/>
          <w:spacing w:val="9"/>
          <w:sz w:val="25"/>
          <w:szCs w:val="25"/>
          <w:u w:val="none"/>
          <w:bdr w:val="none" w:color="auto" w:sz="0" w:space="0"/>
        </w:rPr>
      </w:pPr>
      <w:r>
        <w:rPr>
          <w:rFonts w:ascii="宋体" w:hAnsi="宋体" w:eastAsia="宋体" w:cs="宋体"/>
          <w:spacing w:val="9"/>
          <w:sz w:val="25"/>
          <w:szCs w:val="25"/>
          <w:u w:val="none"/>
          <w:bdr w:val="none" w:color="auto" w:sz="0" w:space="0"/>
        </w:rPr>
        <w:t>增强窗口服务意识。以树牢为民服务意识、建立健全监督机制为重点，实现服务指南清晰明确，首问负责、一次性告知、限时办结等制度落实到位，党员先锋岗、先锋队等党建品牌影响力进一步扩大，为企业和群众提供优质周到的服务。</w:t>
      </w:r>
    </w:p>
    <w:p>
      <w:pPr>
        <w:numPr>
          <w:ilvl w:val="0"/>
          <w:numId w:val="2"/>
        </w:numPr>
        <w:ind w:left="0" w:leftChars="0" w:firstLine="546" w:firstLineChars="200"/>
        <w:rPr>
          <w:rFonts w:ascii="宋体" w:hAnsi="宋体" w:eastAsia="宋体" w:cs="宋体"/>
          <w:spacing w:val="9"/>
          <w:sz w:val="25"/>
          <w:szCs w:val="25"/>
          <w:u w:val="none"/>
          <w:bdr w:val="none" w:color="auto" w:sz="0" w:space="0"/>
        </w:rPr>
      </w:pPr>
      <w:r>
        <w:rPr>
          <w:rFonts w:ascii="宋体" w:hAnsi="宋体" w:eastAsia="宋体" w:cs="宋体"/>
          <w:spacing w:val="9"/>
          <w:sz w:val="25"/>
          <w:szCs w:val="25"/>
          <w:u w:val="none"/>
          <w:bdr w:val="none" w:color="auto" w:sz="0" w:space="0"/>
        </w:rPr>
        <w:t>增强窗口服务能力。紧紧围绕各类办事需求，以“群众满意不满意”为评价标准，优化服务方式，严格落实“一窗受理，并行办理”，进一步畅通部门间信息共享通道，深化“互联网+不动产登记”，多措并举为办事企业和群众提供高效便捷服务。</w:t>
      </w:r>
    </w:p>
    <w:p>
      <w:pPr>
        <w:numPr>
          <w:ilvl w:val="0"/>
          <w:numId w:val="2"/>
        </w:numPr>
        <w:ind w:left="0" w:leftChars="0" w:firstLine="546" w:firstLineChars="200"/>
        <w:rPr>
          <w:rFonts w:ascii="宋体" w:hAnsi="宋体" w:eastAsia="宋体" w:cs="宋体"/>
          <w:spacing w:val="9"/>
          <w:sz w:val="25"/>
          <w:szCs w:val="25"/>
          <w:u w:val="none"/>
          <w:bdr w:val="none" w:color="auto" w:sz="0" w:space="0"/>
        </w:rPr>
      </w:pPr>
      <w:r>
        <w:rPr>
          <w:rFonts w:ascii="宋体" w:hAnsi="宋体" w:eastAsia="宋体" w:cs="宋体"/>
          <w:spacing w:val="9"/>
          <w:sz w:val="25"/>
          <w:szCs w:val="25"/>
          <w:u w:val="none"/>
          <w:bdr w:val="none" w:color="auto" w:sz="0" w:space="0"/>
        </w:rPr>
        <w:t>提高综合管理水平。以完善制度建设、强化日常监督、加强内部管理为重点，通过建立完善规章制度、加强教育培训强度、加大风险排查力度、提升舆情应对能力等多种方式，不断提升综合管理水平，有效推动不动产登记标准化和规范化建设。</w:t>
      </w:r>
    </w:p>
    <w:p>
      <w:pPr>
        <w:numPr>
          <w:ilvl w:val="0"/>
          <w:numId w:val="2"/>
        </w:numPr>
        <w:ind w:left="0" w:leftChars="0" w:firstLine="546" w:firstLineChars="200"/>
        <w:rPr>
          <w:rFonts w:ascii="宋体" w:hAnsi="宋体" w:eastAsia="宋体" w:cs="宋体"/>
          <w:spacing w:val="9"/>
          <w:sz w:val="25"/>
          <w:szCs w:val="25"/>
          <w:u w:val="none"/>
          <w:bdr w:val="none" w:color="auto" w:sz="0" w:space="0"/>
        </w:rPr>
      </w:pPr>
      <w:r>
        <w:rPr>
          <w:rFonts w:ascii="宋体" w:hAnsi="宋体" w:eastAsia="宋体" w:cs="宋体"/>
          <w:spacing w:val="9"/>
          <w:sz w:val="25"/>
          <w:szCs w:val="25"/>
          <w:u w:val="none"/>
          <w:bdr w:val="none" w:color="auto" w:sz="0" w:space="0"/>
        </w:rPr>
        <w:t>创新服务举措。因地制宜创新服务方式和手段，促进营商环境优化。拓展深化“交地即交证”“竣工即交证”“交房即交证”“带押过户”“税费一次收缴、后台自动清分”等创新服务以及帮办代办等便民举措，持续推动不动产登记提质增效。</w:t>
      </w:r>
    </w:p>
    <w:p>
      <w:pPr>
        <w:numPr>
          <w:ilvl w:val="0"/>
          <w:numId w:val="2"/>
        </w:numPr>
        <w:ind w:left="0" w:leftChars="0" w:firstLine="546" w:firstLineChars="200"/>
        <w:rPr>
          <w:rFonts w:hint="eastAsia" w:ascii="宋体" w:hAnsi="宋体" w:eastAsia="宋体" w:cs="宋体"/>
          <w:spacing w:val="9"/>
          <w:sz w:val="25"/>
          <w:szCs w:val="25"/>
          <w:u w:val="none"/>
          <w:bdr w:val="none" w:color="auto" w:sz="0" w:space="0"/>
          <w:lang w:val="en-US" w:eastAsia="zh-CN"/>
        </w:rPr>
      </w:pPr>
      <w:r>
        <w:rPr>
          <w:rFonts w:ascii="宋体" w:hAnsi="宋体" w:eastAsia="宋体" w:cs="宋体"/>
          <w:spacing w:val="9"/>
          <w:sz w:val="25"/>
          <w:szCs w:val="25"/>
          <w:u w:val="none"/>
          <w:bdr w:val="none" w:color="auto" w:sz="0" w:space="0"/>
        </w:rPr>
        <w:t>严守工作底线。聚焦不动产登记“六不准”、登记错误、重大舆情、群体性事件、廉洁登记等方面，严格纪律要求，严守工作底线。</w:t>
      </w:r>
      <w:r>
        <w:rPr>
          <w:rFonts w:hint="eastAsia" w:ascii="宋体" w:hAnsi="宋体" w:eastAsia="宋体" w:cs="宋体"/>
          <w:spacing w:val="9"/>
          <w:sz w:val="25"/>
          <w:szCs w:val="25"/>
          <w:u w:val="none"/>
          <w:bdr w:val="none" w:color="auto" w:sz="0" w:space="0"/>
          <w:lang w:val="en-US" w:eastAsia="zh-CN"/>
        </w:rPr>
        <w:t xml:space="preserve">    </w:t>
      </w:r>
    </w:p>
    <w:p>
      <w:pPr>
        <w:numPr>
          <w:ilvl w:val="0"/>
          <w:numId w:val="1"/>
        </w:numPr>
        <w:ind w:left="0" w:leftChars="0" w:firstLine="548" w:firstLineChars="200"/>
        <w:rPr>
          <w:rStyle w:val="5"/>
          <w:rFonts w:ascii="宋体" w:hAnsi="宋体" w:eastAsia="宋体" w:cs="宋体"/>
          <w:spacing w:val="9"/>
          <w:sz w:val="25"/>
          <w:szCs w:val="25"/>
          <w:u w:val="none"/>
          <w:bdr w:val="none" w:color="auto" w:sz="0" w:space="0"/>
        </w:rPr>
      </w:pPr>
      <w:r>
        <w:rPr>
          <w:rStyle w:val="5"/>
          <w:rFonts w:ascii="宋体" w:hAnsi="宋体" w:eastAsia="宋体" w:cs="宋体"/>
          <w:spacing w:val="9"/>
          <w:sz w:val="25"/>
          <w:szCs w:val="25"/>
          <w:u w:val="none"/>
          <w:bdr w:val="none" w:color="auto" w:sz="0" w:space="0"/>
        </w:rPr>
        <w:t>工作安排</w:t>
      </w:r>
    </w:p>
    <w:p>
      <w:pPr>
        <w:numPr>
          <w:ilvl w:val="0"/>
          <w:numId w:val="3"/>
        </w:numPr>
        <w:ind w:firstLine="546" w:firstLineChars="200"/>
        <w:rPr>
          <w:rFonts w:ascii="宋体" w:hAnsi="宋体" w:eastAsia="宋体" w:cs="宋体"/>
          <w:spacing w:val="9"/>
          <w:sz w:val="25"/>
          <w:szCs w:val="25"/>
          <w:u w:val="none"/>
          <w:bdr w:val="none" w:color="auto" w:sz="0" w:space="0"/>
        </w:rPr>
      </w:pPr>
      <w:r>
        <w:rPr>
          <w:rFonts w:ascii="宋体" w:hAnsi="宋体" w:eastAsia="宋体" w:cs="宋体"/>
          <w:spacing w:val="9"/>
          <w:sz w:val="25"/>
          <w:szCs w:val="25"/>
          <w:u w:val="none"/>
          <w:bdr w:val="none" w:color="auto" w:sz="0" w:space="0"/>
        </w:rPr>
        <w:t>市县集中建设。9月底前，各市县（区）不动产登记窗口单位对标对表集中开展，着力加强窗口软硬件建设，建立健全窗口服务和管理制度体系，切实提升窗口规范化便利化服务水平。</w:t>
      </w:r>
      <w:r>
        <w:rPr>
          <w:rFonts w:hint="eastAsia" w:ascii="宋体" w:hAnsi="宋体" w:eastAsia="宋体" w:cs="宋体"/>
          <w:spacing w:val="9"/>
          <w:sz w:val="25"/>
          <w:szCs w:val="25"/>
          <w:u w:val="none"/>
          <w:bdr w:val="none" w:color="auto" w:sz="0" w:space="0"/>
          <w:lang w:val="en-US" w:eastAsia="zh-CN"/>
        </w:rPr>
        <w:t xml:space="preserve">             </w:t>
      </w:r>
    </w:p>
    <w:p>
      <w:pPr>
        <w:numPr>
          <w:ilvl w:val="0"/>
          <w:numId w:val="3"/>
        </w:numPr>
        <w:ind w:firstLine="546" w:firstLineChars="200"/>
        <w:rPr>
          <w:rFonts w:ascii="宋体" w:hAnsi="宋体" w:eastAsia="宋体" w:cs="宋体"/>
          <w:spacing w:val="9"/>
          <w:sz w:val="25"/>
          <w:szCs w:val="25"/>
          <w:u w:val="none"/>
          <w:bdr w:val="none" w:color="auto" w:sz="0" w:space="0"/>
        </w:rPr>
      </w:pPr>
      <w:r>
        <w:rPr>
          <w:rFonts w:ascii="宋体" w:hAnsi="宋体" w:eastAsia="宋体" w:cs="宋体"/>
          <w:spacing w:val="9"/>
          <w:sz w:val="25"/>
          <w:szCs w:val="25"/>
          <w:u w:val="none"/>
          <w:bdr w:val="none" w:color="auto" w:sz="0" w:space="0"/>
        </w:rPr>
        <w:t>学习交流促进。10月底前，部登记局组织各省级自然资源主管部门采取“结对子”的方式，开展交叉调研，交流学习、取长补短，促进不动产登记便民利民窗口建设。各省级自然资源主管部门要加强对市县建设工作的指导，总结先进经验，及时宣传推广，推动市县强化交流借鉴。</w:t>
      </w:r>
    </w:p>
    <w:p>
      <w:pPr>
        <w:numPr>
          <w:ilvl w:val="0"/>
          <w:numId w:val="3"/>
        </w:numPr>
        <w:ind w:left="0" w:leftChars="0" w:firstLine="546" w:firstLineChars="200"/>
        <w:rPr>
          <w:rFonts w:ascii="宋体" w:hAnsi="宋体" w:eastAsia="宋体" w:cs="宋体"/>
          <w:spacing w:val="9"/>
          <w:sz w:val="25"/>
          <w:szCs w:val="25"/>
          <w:u w:val="none"/>
          <w:bdr w:val="none" w:color="auto" w:sz="0" w:space="0"/>
        </w:rPr>
      </w:pPr>
      <w:r>
        <w:rPr>
          <w:rFonts w:ascii="宋体" w:hAnsi="宋体" w:eastAsia="宋体" w:cs="宋体"/>
          <w:spacing w:val="9"/>
          <w:sz w:val="25"/>
          <w:szCs w:val="25"/>
          <w:u w:val="none"/>
          <w:bdr w:val="none" w:color="auto" w:sz="0" w:space="0"/>
        </w:rPr>
        <w:t>形成制度供给。10月底前，部登记局会同登记中心，结合各地窗口建设经验做法，制定出台《全国不动产登记窗口服务指南》，完善顶层制度供给，指导各地进一步优化窗口服务。</w:t>
      </w:r>
    </w:p>
    <w:p>
      <w:pPr>
        <w:numPr>
          <w:ilvl w:val="0"/>
          <w:numId w:val="3"/>
        </w:numPr>
        <w:ind w:left="0" w:leftChars="0" w:firstLine="546" w:firstLineChars="200"/>
        <w:rPr>
          <w:rFonts w:ascii="宋体" w:hAnsi="宋体" w:eastAsia="宋体" w:cs="宋体"/>
          <w:spacing w:val="9"/>
          <w:sz w:val="25"/>
          <w:szCs w:val="25"/>
          <w:u w:val="none"/>
          <w:bdr w:val="none" w:color="auto" w:sz="0" w:space="0"/>
        </w:rPr>
      </w:pPr>
      <w:r>
        <w:rPr>
          <w:rFonts w:ascii="宋体" w:hAnsi="宋体" w:eastAsia="宋体" w:cs="宋体"/>
          <w:spacing w:val="9"/>
          <w:sz w:val="25"/>
          <w:szCs w:val="25"/>
          <w:u w:val="none"/>
          <w:bdr w:val="none" w:color="auto" w:sz="0" w:space="0"/>
        </w:rPr>
        <w:t>开展宣传表扬。11月底前，部登记局组织设立不动产登记便民利民窗口建设工作成效展示专栏，宣传推出一批便民利民窗口，总结推广各地经验做法，以点带面，深化建设工作；对窗口建设工作成效显著的单位和个人，予以通报表扬。</w:t>
      </w:r>
    </w:p>
    <w:p>
      <w:pPr>
        <w:numPr>
          <w:ilvl w:val="0"/>
          <w:numId w:val="3"/>
        </w:numPr>
        <w:ind w:left="0" w:leftChars="0" w:firstLine="546" w:firstLineChars="200"/>
        <w:rPr>
          <w:rFonts w:ascii="宋体" w:hAnsi="宋体" w:eastAsia="宋体" w:cs="宋体"/>
          <w:spacing w:val="9"/>
          <w:sz w:val="25"/>
          <w:szCs w:val="25"/>
          <w:u w:val="none"/>
          <w:bdr w:val="none" w:color="auto" w:sz="0" w:space="0"/>
        </w:rPr>
      </w:pPr>
      <w:r>
        <w:rPr>
          <w:rFonts w:ascii="宋体" w:hAnsi="宋体" w:eastAsia="宋体" w:cs="宋体"/>
          <w:spacing w:val="9"/>
          <w:sz w:val="25"/>
          <w:szCs w:val="25"/>
          <w:u w:val="none"/>
          <w:bdr w:val="none" w:color="auto" w:sz="0" w:space="0"/>
        </w:rPr>
        <w:t>持续深化建设。各市县（区）不动产登记窗口单位结合登记队伍作风常态化建设，巩固已有成果，创新服务举措，拓展服务内容，持续深化不动产登记便民利民窗口建设工作。</w:t>
      </w:r>
    </w:p>
    <w:p>
      <w:pPr>
        <w:numPr>
          <w:ilvl w:val="0"/>
          <w:numId w:val="1"/>
        </w:numPr>
        <w:ind w:left="0" w:leftChars="0" w:firstLine="548" w:firstLineChars="200"/>
        <w:rPr>
          <w:rStyle w:val="5"/>
          <w:rFonts w:ascii="宋体" w:hAnsi="宋体" w:eastAsia="宋体" w:cs="宋体"/>
          <w:spacing w:val="9"/>
          <w:sz w:val="25"/>
          <w:szCs w:val="25"/>
          <w:u w:val="none"/>
          <w:bdr w:val="none" w:color="auto" w:sz="0" w:space="0"/>
        </w:rPr>
      </w:pPr>
      <w:r>
        <w:rPr>
          <w:rStyle w:val="5"/>
          <w:rFonts w:ascii="宋体" w:hAnsi="宋体" w:eastAsia="宋体" w:cs="宋体"/>
          <w:spacing w:val="9"/>
          <w:sz w:val="25"/>
          <w:szCs w:val="25"/>
          <w:u w:val="none"/>
          <w:bdr w:val="none" w:color="auto" w:sz="0" w:space="0"/>
        </w:rPr>
        <w:t>有关要求 </w:t>
      </w:r>
    </w:p>
    <w:p>
      <w:pPr>
        <w:numPr>
          <w:numId w:val="0"/>
        </w:numPr>
        <w:ind w:firstLine="546" w:firstLineChars="200"/>
        <w:rPr>
          <w:rFonts w:ascii="宋体" w:hAnsi="宋体" w:eastAsia="宋体" w:cs="宋体"/>
          <w:spacing w:val="9"/>
          <w:sz w:val="25"/>
          <w:szCs w:val="25"/>
          <w:u w:val="none"/>
          <w:bdr w:val="none" w:color="auto" w:sz="0" w:space="0"/>
        </w:rPr>
      </w:pPr>
      <w:r>
        <w:rPr>
          <w:rFonts w:ascii="宋体" w:hAnsi="宋体" w:eastAsia="宋体" w:cs="宋体"/>
          <w:spacing w:val="9"/>
          <w:sz w:val="25"/>
          <w:szCs w:val="25"/>
          <w:u w:val="none"/>
          <w:bdr w:val="none" w:color="auto" w:sz="0" w:space="0"/>
        </w:rPr>
        <w:t>各级自然资源主管部门要高度重视，加强宣传引导和学习借鉴，将加强不动产登记便民利民窗口建设工作，作为提升不动产登记便利化服务水平和优化营商环境的重要举措，结合实际，积极探索，扎实推进，确保实效。对于集中设在行政服务中心办公的不动产登记窗口，要与行政服务管理部门加强沟通，取得对建设工作的支持。请各省分别于9月底、10月底前报送本省建设工作的制度性成果和工作总结。</w:t>
      </w:r>
    </w:p>
    <w:p>
      <w:pPr>
        <w:numPr>
          <w:numId w:val="0"/>
        </w:numPr>
        <w:ind w:firstLine="546" w:firstLineChars="200"/>
        <w:rPr>
          <w:rFonts w:ascii="宋体" w:hAnsi="宋体" w:eastAsia="宋体" w:cs="宋体"/>
          <w:spacing w:val="9"/>
          <w:sz w:val="25"/>
          <w:szCs w:val="25"/>
          <w:u w:val="none"/>
          <w:bdr w:val="none" w:color="auto" w:sz="0" w:space="0"/>
        </w:rPr>
      </w:pPr>
      <w:r>
        <w:rPr>
          <w:rFonts w:ascii="宋体" w:hAnsi="宋体" w:eastAsia="宋体" w:cs="宋体"/>
          <w:spacing w:val="9"/>
          <w:sz w:val="25"/>
          <w:szCs w:val="25"/>
          <w:u w:val="none"/>
          <w:bdr w:val="none" w:color="auto" w:sz="0" w:space="0"/>
        </w:rPr>
        <w:t>联系电话：   010-66557756</w:t>
      </w:r>
    </w:p>
    <w:p>
      <w:pPr>
        <w:numPr>
          <w:numId w:val="0"/>
        </w:numPr>
        <w:ind w:firstLine="546" w:firstLineChars="200"/>
        <w:rPr>
          <w:rFonts w:ascii="宋体" w:hAnsi="宋体" w:eastAsia="宋体" w:cs="宋体"/>
          <w:spacing w:val="9"/>
          <w:sz w:val="25"/>
          <w:szCs w:val="25"/>
          <w:u w:val="none"/>
          <w:bdr w:val="none" w:color="auto" w:sz="0" w:space="0"/>
        </w:rPr>
      </w:pPr>
      <w:r>
        <w:rPr>
          <w:rFonts w:ascii="宋体" w:hAnsi="宋体" w:eastAsia="宋体" w:cs="宋体"/>
          <w:spacing w:val="9"/>
          <w:sz w:val="25"/>
          <w:szCs w:val="25"/>
          <w:u w:val="none"/>
          <w:bdr w:val="none" w:color="auto" w:sz="0" w:space="0"/>
        </w:rPr>
        <w:t>附件：不动产登记窗口建设标准　　</w:t>
      </w:r>
    </w:p>
    <w:p>
      <w:pPr>
        <w:numPr>
          <w:numId w:val="0"/>
        </w:numPr>
        <w:ind w:firstLine="3549" w:firstLineChars="1300"/>
        <w:rPr>
          <w:rFonts w:ascii="宋体" w:hAnsi="宋体" w:eastAsia="宋体" w:cs="宋体"/>
          <w:spacing w:val="9"/>
          <w:sz w:val="25"/>
          <w:szCs w:val="25"/>
          <w:u w:val="none"/>
          <w:bdr w:val="none" w:color="auto" w:sz="0" w:space="0"/>
        </w:rPr>
      </w:pPr>
      <w:r>
        <w:rPr>
          <w:rFonts w:ascii="宋体" w:hAnsi="宋体" w:eastAsia="宋体" w:cs="宋体"/>
          <w:spacing w:val="9"/>
          <w:sz w:val="25"/>
          <w:szCs w:val="25"/>
          <w:u w:val="none"/>
          <w:bdr w:val="none" w:color="auto" w:sz="0" w:space="0"/>
        </w:rPr>
        <w:t>自然资源部办公厅　　2024年6月26日</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tabs>
          <w:tab w:val="left" w:pos="720"/>
        </w:tabs>
        <w:spacing w:before="0" w:beforeAutospacing="0" w:after="0" w:afterAutospacing="0" w:line="360" w:lineRule="atLeast"/>
        <w:ind w:right="0" w:rightChars="0"/>
        <w:jc w:val="both"/>
        <w:rPr>
          <w:color w:val="888888"/>
        </w:rPr>
      </w:pPr>
    </w:p>
    <w:p>
      <w:pPr>
        <w:rPr>
          <w:rFonts w:hint="eastAsia" w:ascii="宋体" w:hAnsi="宋体" w:eastAsia="宋体" w:cs="宋体"/>
          <w:spacing w:val="9"/>
          <w:sz w:val="25"/>
          <w:szCs w:val="25"/>
          <w:u w:val="none"/>
          <w:bdr w:val="none" w:color="auto" w:sz="0" w:space="0"/>
          <w:lang w:eastAsia="zh-CN"/>
        </w:rPr>
      </w:pPr>
      <w:r>
        <w:rPr>
          <w:rFonts w:hint="eastAsia" w:ascii="宋体" w:hAnsi="宋体" w:eastAsia="宋体" w:cs="宋体"/>
          <w:spacing w:val="9"/>
          <w:sz w:val="25"/>
          <w:szCs w:val="25"/>
          <w:u w:val="none"/>
          <w:lang w:eastAsia="zh-CN"/>
        </w:rPr>
        <w:drawing>
          <wp:inline distT="0" distB="0" distL="114300" distR="114300">
            <wp:extent cx="6037580" cy="7560945"/>
            <wp:effectExtent l="0" t="0" r="1270" b="190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4"/>
                    <a:stretch>
                      <a:fillRect/>
                    </a:stretch>
                  </pic:blipFill>
                  <pic:spPr>
                    <a:xfrm>
                      <a:off x="0" y="0"/>
                      <a:ext cx="6037580" cy="7560945"/>
                    </a:xfrm>
                    <a:prstGeom prst="rect">
                      <a:avLst/>
                    </a:prstGeom>
                  </pic:spPr>
                </pic:pic>
              </a:graphicData>
            </a:graphic>
          </wp:inline>
        </w:drawing>
      </w:r>
    </w:p>
    <w:p>
      <w:pPr>
        <w:rPr>
          <w:rFonts w:hint="eastAsia" w:ascii="宋体" w:hAnsi="宋体" w:eastAsia="宋体" w:cs="宋体"/>
          <w:spacing w:val="9"/>
          <w:sz w:val="25"/>
          <w:szCs w:val="25"/>
          <w:u w:val="none"/>
          <w:bdr w:val="none" w:color="auto" w:sz="0" w:space="0"/>
          <w:lang w:eastAsia="zh-CN"/>
        </w:rPr>
      </w:pPr>
    </w:p>
    <w:p>
      <w:pPr>
        <w:rPr>
          <w:rFonts w:hint="eastAsia" w:ascii="宋体" w:hAnsi="宋体" w:eastAsia="宋体" w:cs="宋体"/>
          <w:spacing w:val="9"/>
          <w:sz w:val="25"/>
          <w:szCs w:val="25"/>
          <w:u w:val="none"/>
          <w:bdr w:val="none" w:color="auto" w:sz="0" w:space="0"/>
          <w:lang w:eastAsia="zh-CN"/>
        </w:rPr>
      </w:pPr>
    </w:p>
    <w:p>
      <w:pPr>
        <w:rPr>
          <w:rFonts w:hint="eastAsia" w:ascii="宋体" w:hAnsi="宋体" w:eastAsia="宋体" w:cs="宋体"/>
          <w:spacing w:val="9"/>
          <w:sz w:val="25"/>
          <w:szCs w:val="25"/>
          <w:u w:val="none"/>
          <w:bdr w:val="none" w:color="auto" w:sz="0" w:space="0"/>
          <w:lang w:eastAsia="zh-CN"/>
        </w:rPr>
      </w:pPr>
      <w:r>
        <w:rPr>
          <w:rFonts w:hint="eastAsia" w:ascii="宋体" w:hAnsi="宋体" w:eastAsia="宋体" w:cs="宋体"/>
          <w:spacing w:val="9"/>
          <w:sz w:val="25"/>
          <w:szCs w:val="25"/>
          <w:u w:val="none"/>
          <w:lang w:eastAsia="zh-CN"/>
        </w:rPr>
        <w:drawing>
          <wp:inline distT="0" distB="0" distL="114300" distR="114300">
            <wp:extent cx="6200140" cy="6595745"/>
            <wp:effectExtent l="0" t="0" r="10160" b="1460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a:stretch>
                      <a:fillRect/>
                    </a:stretch>
                  </pic:blipFill>
                  <pic:spPr>
                    <a:xfrm>
                      <a:off x="0" y="0"/>
                      <a:ext cx="6200140" cy="6595745"/>
                    </a:xfrm>
                    <a:prstGeom prst="rect">
                      <a:avLst/>
                    </a:prstGeom>
                  </pic:spPr>
                </pic:pic>
              </a:graphicData>
            </a:graphic>
          </wp:inline>
        </w:drawing>
      </w:r>
    </w:p>
    <w:p>
      <w:pPr>
        <w:rPr>
          <w:rFonts w:hint="eastAsia" w:ascii="宋体" w:hAnsi="宋体" w:eastAsia="宋体" w:cs="宋体"/>
          <w:spacing w:val="9"/>
          <w:sz w:val="25"/>
          <w:szCs w:val="25"/>
          <w:u w:val="none"/>
          <w:bdr w:val="none" w:color="auto" w:sz="0" w:space="0"/>
          <w:lang w:eastAsia="zh-CN"/>
        </w:rPr>
      </w:pPr>
    </w:p>
    <w:p>
      <w:pPr>
        <w:rPr>
          <w:rFonts w:hint="eastAsia" w:ascii="宋体" w:hAnsi="宋体" w:eastAsia="宋体" w:cs="宋体"/>
          <w:spacing w:val="9"/>
          <w:sz w:val="25"/>
          <w:szCs w:val="25"/>
          <w:u w:val="none"/>
          <w:bdr w:val="none" w:color="auto" w:sz="0" w:space="0"/>
          <w:lang w:eastAsia="zh-CN"/>
        </w:rPr>
      </w:pPr>
    </w:p>
    <w:p>
      <w:pPr>
        <w:rPr>
          <w:rFonts w:hint="eastAsia" w:ascii="宋体" w:hAnsi="宋体" w:eastAsia="宋体" w:cs="宋体"/>
          <w:spacing w:val="9"/>
          <w:sz w:val="25"/>
          <w:szCs w:val="25"/>
          <w:u w:val="none"/>
          <w:bdr w:val="none" w:color="auto" w:sz="0" w:space="0"/>
          <w:lang w:eastAsia="zh-CN"/>
        </w:rPr>
      </w:pPr>
      <w:r>
        <w:rPr>
          <w:rFonts w:hint="eastAsia" w:ascii="宋体" w:hAnsi="宋体" w:eastAsia="宋体" w:cs="宋体"/>
          <w:spacing w:val="9"/>
          <w:sz w:val="25"/>
          <w:szCs w:val="25"/>
          <w:u w:val="none"/>
          <w:bdr w:val="none" w:color="auto" w:sz="0" w:space="0"/>
          <w:lang w:eastAsia="zh-CN"/>
        </w:rPr>
        <w:drawing>
          <wp:inline distT="0" distB="0" distL="114300" distR="114300">
            <wp:extent cx="6075680" cy="6139180"/>
            <wp:effectExtent l="0" t="0" r="1270" b="1397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6"/>
                    <a:stretch>
                      <a:fillRect/>
                    </a:stretch>
                  </pic:blipFill>
                  <pic:spPr>
                    <a:xfrm>
                      <a:off x="0" y="0"/>
                      <a:ext cx="6075680" cy="6139180"/>
                    </a:xfrm>
                    <a:prstGeom prst="rect">
                      <a:avLst/>
                    </a:prstGeom>
                  </pic:spPr>
                </pic:pic>
              </a:graphicData>
            </a:graphic>
          </wp:inline>
        </w:drawing>
      </w:r>
    </w:p>
    <w:p>
      <w:pPr>
        <w:rPr>
          <w:rFonts w:hint="eastAsia" w:ascii="宋体" w:hAnsi="宋体" w:eastAsia="宋体" w:cs="宋体"/>
          <w:spacing w:val="9"/>
          <w:sz w:val="25"/>
          <w:szCs w:val="25"/>
          <w:u w:val="none"/>
          <w:bdr w:val="none" w:color="auto" w:sz="0" w:space="0"/>
          <w:lang w:eastAsia="zh-CN"/>
        </w:rPr>
      </w:pPr>
    </w:p>
    <w:p>
      <w:pPr>
        <w:rPr>
          <w:rFonts w:hint="eastAsia" w:ascii="宋体" w:hAnsi="宋体" w:eastAsia="宋体" w:cs="宋体"/>
          <w:spacing w:val="9"/>
          <w:sz w:val="25"/>
          <w:szCs w:val="25"/>
          <w:u w:val="none"/>
          <w:bdr w:val="none" w:color="auto" w:sz="0" w:space="0"/>
          <w:lang w:eastAsia="zh-CN"/>
        </w:rPr>
      </w:pPr>
    </w:p>
    <w:p>
      <w:pPr>
        <w:rPr>
          <w:rFonts w:hint="eastAsia" w:ascii="宋体" w:hAnsi="宋体" w:eastAsia="宋体" w:cs="宋体"/>
          <w:spacing w:val="9"/>
          <w:sz w:val="25"/>
          <w:szCs w:val="25"/>
          <w:u w:val="none"/>
          <w:bdr w:val="none" w:color="auto" w:sz="0" w:space="0"/>
          <w:lang w:eastAsia="zh-CN"/>
        </w:rPr>
      </w:pPr>
      <w:r>
        <w:rPr>
          <w:rFonts w:hint="eastAsia" w:ascii="宋体" w:hAnsi="宋体" w:eastAsia="宋体" w:cs="宋体"/>
          <w:spacing w:val="9"/>
          <w:sz w:val="25"/>
          <w:szCs w:val="25"/>
          <w:u w:val="none"/>
          <w:bdr w:val="none" w:color="auto" w:sz="0" w:space="0"/>
          <w:lang w:eastAsia="zh-CN"/>
        </w:rPr>
        <w:drawing>
          <wp:inline distT="0" distB="0" distL="114300" distR="114300">
            <wp:extent cx="6266815" cy="6139180"/>
            <wp:effectExtent l="0" t="0" r="635" b="13970"/>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7"/>
                    <a:stretch>
                      <a:fillRect/>
                    </a:stretch>
                  </pic:blipFill>
                  <pic:spPr>
                    <a:xfrm>
                      <a:off x="0" y="0"/>
                      <a:ext cx="6266815" cy="61391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auto"/>
    <w:pitch w:val="default"/>
    <w:sig w:usb0="80000287" w:usb1="28CF3C52" w:usb2="00000016" w:usb3="00000000" w:csb0="0004001F"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5E2DC2"/>
    <w:multiLevelType w:val="singleLevel"/>
    <w:tmpl w:val="EA5E2DC2"/>
    <w:lvl w:ilvl="0" w:tentative="0">
      <w:start w:val="1"/>
      <w:numFmt w:val="chineseCounting"/>
      <w:suff w:val="nothing"/>
      <w:lvlText w:val="（%1）"/>
      <w:lvlJc w:val="left"/>
      <w:rPr>
        <w:rFonts w:hint="eastAsia"/>
      </w:rPr>
    </w:lvl>
  </w:abstractNum>
  <w:abstractNum w:abstractNumId="1">
    <w:nsid w:val="51CFCE96"/>
    <w:multiLevelType w:val="singleLevel"/>
    <w:tmpl w:val="51CFCE96"/>
    <w:lvl w:ilvl="0" w:tentative="0">
      <w:start w:val="1"/>
      <w:numFmt w:val="chineseCounting"/>
      <w:suff w:val="nothing"/>
      <w:lvlText w:val="（%1）"/>
      <w:lvlJc w:val="left"/>
      <w:rPr>
        <w:rFonts w:hint="eastAsia"/>
      </w:rPr>
    </w:lvl>
  </w:abstractNum>
  <w:abstractNum w:abstractNumId="2">
    <w:nsid w:val="6CB2BC25"/>
    <w:multiLevelType w:val="singleLevel"/>
    <w:tmpl w:val="6CB2BC25"/>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EEF7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4">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2024-07-17T02:00:16Z</dcterms:created>
  <dc:creator>BDC-1</dc:creator>
  <cp:lastModifiedBy>杨光金</cp:lastModifiedBy>
  <dcterms:modified xsi:type="dcterms:W3CDTF">2024-07-17T02:09:11Z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