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706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06C9F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06C9F"/>
          <w:spacing w:val="0"/>
          <w:sz w:val="44"/>
          <w:szCs w:val="44"/>
          <w:bdr w:val="none" w:color="auto" w:sz="0" w:space="0"/>
        </w:rPr>
        <w:t>自然资源部关于第六批修改的部门规章的决定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ascii="仿宋" w:hAnsi="仿宋" w:eastAsia="仿宋" w:cs="仿宋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中华人民共和国自然资源部令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caps w:val="0"/>
          <w:color w:val="FFFFFF"/>
          <w:spacing w:val="0"/>
          <w:sz w:val="28"/>
          <w:szCs w:val="28"/>
          <w:bdr w:val="none" w:color="auto" w:sz="0" w:space="0"/>
          <w:shd w:val="clear" w:fill="F96E57"/>
        </w:rPr>
        <w:t>第14号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《自然资源部关于第六批修改的部门规章的决定》已经2024年5月9日自然资源部第2次部务会议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审议通过，现予公布，自公布之日起施行。                                                      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0" w:lineRule="atLeast"/>
        <w:ind w:left="0" w:right="0" w:firstLine="56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  部长   王广华   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0" w:lineRule="atLeast"/>
        <w:ind w:left="0" w:right="0" w:firstLine="652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2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2024年5月21日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自然资源部关于第六批修改的部门规章的决定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（2024年5月9日自然资源部第2次部务会议通过）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为了贯彻落实党中央、国务院关于优化营商环境有关决策部署，提升不动产登记服务效能，自然资源部决定：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修改《不动产登记暂行条例实施细则》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（一）在第九条增加一款作为第三款：“通过互联网在线申请不动产登记的，应当通过符合国家规定的身份认证系统进行实名认证。申请人提交电子材料的，不再提交纸质材料。”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将第十二条第四款修改为：“境外申请人委托他人办理处分不动产登记的，其授权委托书应当按照国家有关规定办理认证或者公证;我国缔结或者参加的国际条约有不同规定的，适用该国际条约的规定，但我国声明保留的条款除外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（三）将第二十条第一款修改为：“不动产登记机构应当根据不动产登记簿，填写并核发不动产权属证书或者不动产登记证明。电子证书证明与纸质证书证明具有同等法律效力。”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（四）将第二十二条第二款修改为：“不动产权属证书或者不动产登记证明遗失、灭失，不动产权利人申请补发的，由不动产登记机构在其门户网站上刊发不动产权利人的遗失、灭失声明后，即予以补发。” 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0" w:lineRule="atLeast"/>
        <w:ind w:left="0" w:right="0" w:firstLine="281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二、修改《不动产登记资料查询暂行办法》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将第十条第二款修改为：“查询结果证明应当注明出具的时间，并加盖不动产登记机构查询专用章。电子查询结果证明与纸质查询结果证明具有同等法律效力。”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上述规章根据本决定作相应修改，重新公布。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本决定自公布之日起施行。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来源：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自然资源部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4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2024-07-03T08:17:57Z</dcterms:created>
  <dc:creator>BDC-1</dc:creator>
  <cp:lastModifiedBy>杨光金</cp:lastModifiedBy>
  <dcterms:modified xsi:type="dcterms:W3CDTF">2024-07-03T08:18:14Z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