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200" w:lineRule="exact"/>
        <w:jc w:val="distribute"/>
        <w:rPr>
          <w:rFonts w:eastAsia="方正大标宋简体"/>
          <w:snapToGrid w:val="0"/>
          <w:color w:val="FF0000"/>
          <w:spacing w:val="40"/>
          <w:w w:val="60"/>
          <w:kern w:val="0"/>
          <w:sz w:val="120"/>
          <w:szCs w:val="120"/>
        </w:rPr>
      </w:pPr>
      <w:r>
        <w:rPr>
          <w:rFonts w:hint="eastAsia" w:eastAsia="方正大标宋简体"/>
          <w:snapToGrid w:val="0"/>
          <w:color w:val="FF0000"/>
          <w:spacing w:val="40"/>
          <w:w w:val="60"/>
          <w:kern w:val="0"/>
          <w:sz w:val="120"/>
          <w:szCs w:val="120"/>
        </w:rPr>
        <w:t>重庆市规划和自然资源局</w:t>
      </w:r>
    </w:p>
    <w:p>
      <w:pPr>
        <w:snapToGrid w:val="0"/>
        <w:spacing w:line="240" w:lineRule="exact"/>
        <w:ind w:firstLine="641"/>
        <w:jc w:val="right"/>
        <w:rPr>
          <w:rFonts w:eastAsia="方正仿宋_GBK"/>
          <w:snapToGrid w:val="0"/>
          <w:kern w:val="0"/>
          <w:sz w:val="32"/>
        </w:rPr>
      </w:pPr>
      <w:r>
        <w:rPr>
          <w:szCs w:val="22"/>
        </w:rPr>
        <mc:AlternateContent>
          <mc:Choice Requires="wps">
            <w:drawing>
              <wp:anchor distT="0" distB="0" distL="114300" distR="114300" simplePos="0" relativeHeight="251660288" behindDoc="0" locked="0" layoutInCell="1" allowOverlap="1">
                <wp:simplePos x="0" y="0"/>
                <wp:positionH relativeFrom="column">
                  <wp:posOffset>-56515</wp:posOffset>
                </wp:positionH>
                <wp:positionV relativeFrom="paragraph">
                  <wp:posOffset>45720</wp:posOffset>
                </wp:positionV>
                <wp:extent cx="5819140" cy="3175"/>
                <wp:effectExtent l="0" t="28575" r="10160" b="4445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flipV="1">
                          <a:off x="0" y="0"/>
                          <a:ext cx="5819140" cy="3175"/>
                        </a:xfrm>
                        <a:prstGeom prst="line">
                          <a:avLst/>
                        </a:prstGeom>
                        <a:noFill/>
                        <a:ln w="57150" cmpd="thinThick">
                          <a:solidFill>
                            <a:srgbClr val="FF0000"/>
                          </a:solidFill>
                          <a:round/>
                        </a:ln>
                      </wps:spPr>
                      <wps:bodyPr/>
                    </wps:wsp>
                  </a:graphicData>
                </a:graphic>
              </wp:anchor>
            </w:drawing>
          </mc:Choice>
          <mc:Fallback>
            <w:pict>
              <v:line id="_x0000_s1026" o:spid="_x0000_s1026" o:spt="20" style="position:absolute;left:0pt;flip:y;margin-left:-4.45pt;margin-top:3.6pt;height:0.25pt;width:458.2pt;z-index:251660288;mso-width-relative:page;mso-height-relative:page;" filled="f" stroked="t" coordsize="21600,21600" o:gfxdata="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uGcsvWAAAABgEAAA8AAAAAAAAAAQAgAAAAIgAAAGRycy9kb3ducmV2Lnht&#10;bFBLAQIUABQAAAAIAIdO4kAlW+Rg+wEAAMkDAAAOAAAAAAAAAAEAIAAAACUBAABkcnMvZTJvRG9j&#10;LnhtbFBLBQYAAAAABgAGAFkBAACSBQAAAAA=&#10;">
                <v:fill on="f" focussize="0,0"/>
                <v:stroke weight="4.5pt" color="#FF0000" linestyle="thinThick" joinstyle="round"/>
                <v:imagedata o:title=""/>
                <o:lock v:ext="edit" aspectratio="f"/>
              </v:line>
            </w:pict>
          </mc:Fallback>
        </mc:AlternateContent>
      </w:r>
    </w:p>
    <w:p>
      <w:pPr>
        <w:overflowPunct w:val="0"/>
        <w:adjustRightInd w:val="0"/>
        <w:snapToGrid w:val="0"/>
        <w:spacing w:line="600" w:lineRule="exact"/>
        <w:jc w:val="right"/>
        <w:rPr>
          <w:rFonts w:hint="default" w:ascii="Times New Roman" w:hAnsi="Times New Roman" w:eastAsia="方正仿宋_GBK" w:cs="Times New Roman"/>
          <w:snapToGrid w:val="0"/>
          <w:color w:val="000000"/>
          <w:sz w:val="32"/>
        </w:rPr>
      </w:pPr>
      <w:r>
        <w:rPr>
          <w:rFonts w:hint="default" w:ascii="Times New Roman" w:hAnsi="Times New Roman" w:eastAsia="方正仿宋_GBK" w:cs="Times New Roman"/>
          <w:snapToGrid w:val="0"/>
          <w:color w:val="000000"/>
          <w:sz w:val="32"/>
        </w:rPr>
        <w:t>渝规资〔202</w:t>
      </w:r>
      <w:r>
        <w:rPr>
          <w:rFonts w:hint="default" w:ascii="Times New Roman" w:hAnsi="Times New Roman" w:eastAsia="方正仿宋_GBK" w:cs="Times New Roman"/>
          <w:snapToGrid w:val="0"/>
          <w:color w:val="000000"/>
          <w:sz w:val="32"/>
          <w:lang w:val="en-US" w:eastAsia="zh-CN"/>
        </w:rPr>
        <w:t>2</w:t>
      </w:r>
      <w:r>
        <w:rPr>
          <w:rFonts w:hint="default" w:ascii="Times New Roman" w:hAnsi="Times New Roman" w:eastAsia="方正仿宋_GBK" w:cs="Times New Roman"/>
          <w:snapToGrid w:val="0"/>
          <w:color w:val="000000"/>
          <w:sz w:val="32"/>
        </w:rPr>
        <w:t>〕</w:t>
      </w:r>
      <w:r>
        <w:rPr>
          <w:rFonts w:hint="eastAsia" w:ascii="Times New Roman" w:hAnsi="Times New Roman" w:eastAsia="方正仿宋_GBK" w:cs="Times New Roman"/>
          <w:snapToGrid w:val="0"/>
          <w:color w:val="000000"/>
          <w:sz w:val="32"/>
          <w:lang w:val="en-US" w:eastAsia="zh-CN"/>
        </w:rPr>
        <w:t>65</w:t>
      </w:r>
      <w:r>
        <w:rPr>
          <w:rFonts w:hint="default" w:ascii="Times New Roman" w:hAnsi="Times New Roman" w:eastAsia="方正仿宋_GBK" w:cs="Times New Roman"/>
          <w:snapToGrid w:val="0"/>
          <w:color w:val="000000"/>
          <w:sz w:val="32"/>
        </w:rPr>
        <w:t>号</w:t>
      </w:r>
    </w:p>
    <w:p>
      <w:pPr>
        <w:keepNext w:val="0"/>
        <w:keepLines w:val="0"/>
        <w:pageBreakBefore w:val="0"/>
        <w:kinsoku/>
        <w:wordWrap/>
        <w:overflowPunct w:val="0"/>
        <w:topLinePunct w:val="0"/>
        <w:bidi w:val="0"/>
        <w:adjustRightInd w:val="0"/>
        <w:snapToGrid w:val="0"/>
        <w:spacing w:line="540" w:lineRule="exact"/>
        <w:ind w:left="-319" w:leftChars="-152"/>
        <w:textAlignment w:val="auto"/>
        <w:rPr>
          <w:rFonts w:hint="default" w:ascii="Times New Roman" w:hAnsi="Times New Roman" w:eastAsia="方正仿宋_GBK" w:cs="Times New Roman"/>
          <w:bCs/>
          <w:snapToGrid w:val="0"/>
          <w:kern w:val="0"/>
          <w:sz w:val="44"/>
        </w:rPr>
      </w:pPr>
    </w:p>
    <w:p>
      <w:pPr>
        <w:pStyle w:val="2"/>
        <w:spacing w:line="540" w:lineRule="exact"/>
        <w:rPr>
          <w:rFonts w:hint="default"/>
        </w:rPr>
      </w:pPr>
    </w:p>
    <w:p>
      <w:pPr>
        <w:tabs>
          <w:tab w:val="left" w:pos="8820"/>
        </w:tabs>
        <w:spacing w:line="540" w:lineRule="exact"/>
        <w:ind w:left="-540" w:leftChars="-257" w:right="-178" w:rightChars="-85" w:firstLine="64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重庆市规划和自然资源局</w:t>
      </w:r>
    </w:p>
    <w:p>
      <w:pPr>
        <w:spacing w:line="540" w:lineRule="exact"/>
        <w:jc w:val="center"/>
        <w:rPr>
          <w:rFonts w:eastAsia="方正小标宋_GBK"/>
          <w:bCs/>
          <w:sz w:val="44"/>
          <w:szCs w:val="44"/>
        </w:rPr>
      </w:pPr>
      <w:r>
        <w:rPr>
          <w:rFonts w:eastAsia="方正小标宋_GBK"/>
          <w:bCs/>
          <w:sz w:val="44"/>
          <w:szCs w:val="44"/>
        </w:rPr>
        <w:t>关于进一步优化工作流程和规范建设项目</w:t>
      </w:r>
    </w:p>
    <w:p>
      <w:pPr>
        <w:spacing w:line="540" w:lineRule="exact"/>
        <w:jc w:val="center"/>
        <w:rPr>
          <w:rFonts w:eastAsia="方正小标宋_GBK"/>
          <w:bCs/>
          <w:sz w:val="44"/>
          <w:szCs w:val="44"/>
        </w:rPr>
      </w:pPr>
      <w:r>
        <w:rPr>
          <w:rFonts w:eastAsia="方正小标宋_GBK"/>
          <w:bCs/>
          <w:sz w:val="44"/>
          <w:szCs w:val="44"/>
        </w:rPr>
        <w:t>报建电子文件的通知</w:t>
      </w:r>
    </w:p>
    <w:p>
      <w:pPr>
        <w:tabs>
          <w:tab w:val="left" w:pos="8820"/>
        </w:tabs>
        <w:spacing w:line="540" w:lineRule="exact"/>
        <w:ind w:left="-525" w:leftChars="-250" w:right="-178" w:rightChars="-85" w:firstLine="640"/>
        <w:rPr>
          <w:szCs w:val="32"/>
        </w:rPr>
      </w:pPr>
    </w:p>
    <w:p>
      <w:pPr>
        <w:tabs>
          <w:tab w:val="left" w:pos="8820"/>
        </w:tabs>
        <w:spacing w:line="54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各</w:t>
      </w:r>
      <w:r>
        <w:rPr>
          <w:rFonts w:hint="default" w:ascii="Times New Roman" w:hAnsi="Times New Roman" w:eastAsia="方正仿宋_GBK" w:cs="Times New Roman"/>
          <w:sz w:val="32"/>
          <w:szCs w:val="32"/>
          <w:lang w:eastAsia="zh-CN"/>
        </w:rPr>
        <w:t>区县</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自治县，</w:t>
      </w:r>
      <w:r>
        <w:rPr>
          <w:rFonts w:hint="default" w:ascii="Times New Roman" w:hAnsi="Times New Roman" w:eastAsia="方正仿宋_GBK" w:cs="Times New Roman"/>
          <w:sz w:val="32"/>
          <w:szCs w:val="32"/>
        </w:rPr>
        <w:t>含两江新区</w:t>
      </w:r>
      <w:r>
        <w:rPr>
          <w:rFonts w:hint="default" w:ascii="Times New Roman" w:hAnsi="Times New Roman" w:eastAsia="方正仿宋_GBK" w:cs="Times New Roman"/>
          <w:sz w:val="32"/>
          <w:szCs w:val="32"/>
          <w:lang w:eastAsia="zh-CN"/>
        </w:rPr>
        <w:t>、西部科学城重庆</w:t>
      </w:r>
      <w:r>
        <w:rPr>
          <w:rFonts w:hint="default" w:ascii="Times New Roman" w:hAnsi="Times New Roman" w:eastAsia="方正仿宋_GBK" w:cs="Times New Roman"/>
          <w:sz w:val="32"/>
          <w:szCs w:val="32"/>
        </w:rPr>
        <w:t>高新区</w:t>
      </w:r>
      <w:r>
        <w:rPr>
          <w:rFonts w:hint="default" w:ascii="Times New Roman" w:hAnsi="Times New Roman" w:eastAsia="方正仿宋_GBK" w:cs="Times New Roman"/>
          <w:sz w:val="32"/>
          <w:szCs w:val="32"/>
          <w:lang w:eastAsia="zh-CN"/>
        </w:rPr>
        <w:t>、万盛经开区</w:t>
      </w:r>
      <w:r>
        <w:rPr>
          <w:rFonts w:hint="default" w:ascii="Times New Roman" w:hAnsi="Times New Roman" w:eastAsia="方正仿宋_GBK" w:cs="Times New Roman"/>
          <w:sz w:val="32"/>
          <w:szCs w:val="32"/>
        </w:rPr>
        <w:t>）规划自然资源局</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市规划事务中心、市规划自然资源信息中心</w:t>
      </w:r>
      <w:r>
        <w:rPr>
          <w:rFonts w:hint="default" w:ascii="Times New Roman" w:hAnsi="Times New Roman" w:eastAsia="方正仿宋_GBK" w:cs="Times New Roman"/>
          <w:sz w:val="32"/>
          <w:szCs w:val="32"/>
          <w:lang w:eastAsia="zh-CN"/>
        </w:rPr>
        <w:t>、各区县</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自治县，</w:t>
      </w:r>
      <w:r>
        <w:rPr>
          <w:rFonts w:hint="default" w:ascii="Times New Roman" w:hAnsi="Times New Roman" w:eastAsia="方正仿宋_GBK" w:cs="Times New Roman"/>
          <w:sz w:val="32"/>
          <w:szCs w:val="32"/>
        </w:rPr>
        <w:t>含两江新区</w:t>
      </w:r>
      <w:r>
        <w:rPr>
          <w:rFonts w:hint="default" w:ascii="Times New Roman" w:hAnsi="Times New Roman" w:eastAsia="方正仿宋_GBK" w:cs="Times New Roman"/>
          <w:sz w:val="32"/>
          <w:szCs w:val="32"/>
          <w:lang w:eastAsia="zh-CN"/>
        </w:rPr>
        <w:t>、西部科学城重庆</w:t>
      </w:r>
      <w:r>
        <w:rPr>
          <w:rFonts w:hint="default" w:ascii="Times New Roman" w:hAnsi="Times New Roman" w:eastAsia="方正仿宋_GBK" w:cs="Times New Roman"/>
          <w:sz w:val="32"/>
          <w:szCs w:val="32"/>
        </w:rPr>
        <w:t>高新区</w:t>
      </w:r>
      <w:r>
        <w:rPr>
          <w:rFonts w:hint="default" w:ascii="Times New Roman" w:hAnsi="Times New Roman" w:eastAsia="方正仿宋_GBK" w:cs="Times New Roman"/>
          <w:sz w:val="32"/>
          <w:szCs w:val="32"/>
          <w:lang w:eastAsia="zh-CN"/>
        </w:rPr>
        <w:t>、万盛经开区</w:t>
      </w:r>
      <w:r>
        <w:rPr>
          <w:rFonts w:hint="default" w:ascii="Times New Roman" w:hAnsi="Times New Roman" w:eastAsia="方正仿宋_GBK" w:cs="Times New Roman"/>
          <w:sz w:val="32"/>
          <w:szCs w:val="32"/>
        </w:rPr>
        <w:t>）不动产登记中心，各有关单位：</w:t>
      </w:r>
      <w:r>
        <w:rPr>
          <w:rFonts w:hint="default" w:ascii="Times New Roman" w:hAnsi="Times New Roman" w:eastAsia="方正仿宋_GBK" w:cs="Times New Roman"/>
          <w:sz w:val="32"/>
          <w:szCs w:val="32"/>
          <w:lang w:val="en-US" w:eastAsia="zh-CN"/>
        </w:rPr>
        <w:t xml:space="preserve">  </w:t>
      </w:r>
    </w:p>
    <w:p>
      <w:pPr>
        <w:tabs>
          <w:tab w:val="left" w:pos="8820"/>
        </w:tabs>
        <w:spacing w:line="540" w:lineRule="exact"/>
        <w:ind w:firstLine="0" w:firstLineChars="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color w:val="auto"/>
          <w:sz w:val="32"/>
          <w:szCs w:val="32"/>
          <w:shd w:val="clear" w:color="auto" w:fill="auto"/>
          <w:lang w:val="en-US" w:eastAsia="zh-CN"/>
        </w:rPr>
        <w:t xml:space="preserve">    </w:t>
      </w:r>
      <w:r>
        <w:rPr>
          <w:rFonts w:hint="default" w:ascii="Times New Roman" w:hAnsi="Times New Roman" w:eastAsia="方正仿宋_GBK" w:cs="Times New Roman"/>
          <w:color w:val="auto"/>
          <w:sz w:val="32"/>
          <w:szCs w:val="32"/>
          <w:shd w:val="clear" w:color="auto" w:fill="auto"/>
        </w:rPr>
        <w:t>为深化“放管服”改革，优化国土空间信息平台一体化管理，强化建筑项目建设工程规划许可与不动产确权登记的有效衔接，规范建筑功能分类，现将</w:t>
      </w:r>
      <w:r>
        <w:rPr>
          <w:rFonts w:hint="default" w:ascii="Times New Roman" w:hAnsi="Times New Roman" w:eastAsia="方正仿宋_GBK" w:cs="Times New Roman"/>
          <w:sz w:val="32"/>
          <w:szCs w:val="32"/>
        </w:rPr>
        <w:t>相关要求通知如下：</w:t>
      </w:r>
    </w:p>
    <w:p>
      <w:pPr>
        <w:tabs>
          <w:tab w:val="left" w:pos="8820"/>
        </w:tabs>
        <w:spacing w:line="540" w:lineRule="exact"/>
        <w:ind w:firstLine="640"/>
        <w:jc w:val="both"/>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一、完善图文表达</w:t>
      </w:r>
    </w:p>
    <w:p>
      <w:pPr>
        <w:tabs>
          <w:tab w:val="left" w:pos="8820"/>
        </w:tabs>
        <w:spacing w:line="54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（一）建设单位申请办理建设工程规划许可证时，应提交建设工程设计图纸、《建设工程技术经济指标计算书》及其电子文件。电子文件应满足附件1、附件2要求。</w:t>
      </w:r>
    </w:p>
    <w:p>
      <w:pPr>
        <w:tabs>
          <w:tab w:val="left" w:pos="8820"/>
        </w:tabs>
        <w:spacing w:line="54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（二）工业、物流仓储、医疗卫生、教育、科研用地内建设项目的具体房屋功能，设计单位应按《特定用地项目房屋功能及登记用途对照表》（附件3）规范表达、明确标注。</w:t>
      </w:r>
    </w:p>
    <w:p>
      <w:pPr>
        <w:tabs>
          <w:tab w:val="left" w:pos="8820"/>
        </w:tabs>
        <w:spacing w:line="540" w:lineRule="exact"/>
        <w:ind w:firstLine="640"/>
        <w:jc w:val="both"/>
        <w:rPr>
          <w:rFonts w:hint="default" w:ascii="方正黑体_GBK" w:hAnsi="方正黑体_GBK" w:eastAsia="方正黑体_GBK" w:cs="方正黑体_GBK"/>
          <w:b w:val="0"/>
          <w:bCs w:val="0"/>
          <w:sz w:val="32"/>
          <w:szCs w:val="32"/>
        </w:rPr>
      </w:pPr>
      <w:r>
        <w:rPr>
          <w:szCs w:val="22"/>
        </w:rPr>
        <mc:AlternateContent>
          <mc:Choice Requires="wps">
            <w:drawing>
              <wp:anchor distT="0" distB="0" distL="114300" distR="114300" simplePos="0" relativeHeight="251659264" behindDoc="0" locked="0" layoutInCell="1" allowOverlap="1">
                <wp:simplePos x="0" y="0"/>
                <wp:positionH relativeFrom="column">
                  <wp:posOffset>-75565</wp:posOffset>
                </wp:positionH>
                <wp:positionV relativeFrom="paragraph">
                  <wp:posOffset>605155</wp:posOffset>
                </wp:positionV>
                <wp:extent cx="5819140" cy="3175"/>
                <wp:effectExtent l="0" t="28575" r="10160" b="4445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flipV="1">
                          <a:off x="0" y="0"/>
                          <a:ext cx="5819140" cy="3175"/>
                        </a:xfrm>
                        <a:prstGeom prst="line">
                          <a:avLst/>
                        </a:prstGeom>
                        <a:noFill/>
                        <a:ln w="57150" cmpd="thickThin">
                          <a:solidFill>
                            <a:srgbClr val="FF0000"/>
                          </a:solidFill>
                          <a:round/>
                        </a:ln>
                      </wps:spPr>
                      <wps:bodyPr/>
                    </wps:wsp>
                  </a:graphicData>
                </a:graphic>
              </wp:anchor>
            </w:drawing>
          </mc:Choice>
          <mc:Fallback>
            <w:pict>
              <v:line id="_x0000_s1026" o:spid="_x0000_s1026" o:spt="20" style="position:absolute;left:0pt;flip:y;margin-left:-5.95pt;margin-top:47.65pt;height:0.25pt;width:458.2pt;z-index:251659264;mso-width-relative:page;mso-height-relative:page;" filled="f" stroked="t" coordsize="21600,21600" o:gfxdata="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1T5znXAAAACQEAAA8AAAAAAAAAAQAgAAAAIgAAAGRycy9kb3ducmV2Lnht&#10;bFBLAQIUABQAAAAIAIdO4kCg11ta+gEAAMkDAAAOAAAAAAAAAAEAIAAAACYBAABkcnMvZTJvRG9j&#10;LnhtbFBLBQYAAAAABgAGAFkBAACSBQAAAAA=&#10;">
                <v:fill on="f" focussize="0,0"/>
                <v:stroke weight="4.5pt" color="#FF0000" linestyle="thickThin" joinstyle="round"/>
                <v:imagedata o:title=""/>
                <o:lock v:ext="edit" aspectratio="f"/>
              </v:line>
            </w:pict>
          </mc:Fallback>
        </mc:AlternateContent>
      </w:r>
      <w:r>
        <w:rPr>
          <w:rFonts w:hint="default" w:ascii="方正黑体_GBK" w:hAnsi="方正黑体_GBK" w:eastAsia="方正黑体_GBK" w:cs="方正黑体_GBK"/>
          <w:b w:val="0"/>
          <w:bCs w:val="0"/>
          <w:sz w:val="32"/>
          <w:szCs w:val="32"/>
        </w:rPr>
        <w:t>二、强化管理衔接</w:t>
      </w:r>
    </w:p>
    <w:p>
      <w:pPr>
        <w:pStyle w:val="2"/>
        <w:tabs>
          <w:tab w:val="left" w:pos="7360"/>
        </w:tabs>
        <w:spacing w:after="0" w:line="54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（一）办理建设工程规划许可时，各区局应对通过审核的建设工程规划设计方案各类图纸分别加盖规划许可电子印章、审阅电子印章，并上传至国土空间信息平台。</w:t>
      </w:r>
      <w:r>
        <w:rPr>
          <w:rFonts w:hint="default" w:ascii="Times New Roman" w:hAnsi="Times New Roman" w:eastAsia="方正仿宋_GBK" w:cs="Times New Roman"/>
          <w:sz w:val="32"/>
          <w:szCs w:val="32"/>
          <w:lang w:eastAsia="zh-CN"/>
        </w:rPr>
        <w:t>办理</w:t>
      </w:r>
      <w:r>
        <w:rPr>
          <w:rFonts w:hint="default" w:ascii="Times New Roman" w:hAnsi="Times New Roman" w:eastAsia="方正仿宋_GBK" w:cs="Times New Roman"/>
          <w:sz w:val="32"/>
          <w:szCs w:val="32"/>
        </w:rPr>
        <w:t>建设工程规划许可调整的，各区局应对相应图纸进行替换，加盖</w:t>
      </w:r>
      <w:r>
        <w:rPr>
          <w:rFonts w:hint="default" w:ascii="Times New Roman" w:hAnsi="Times New Roman" w:eastAsia="方正仿宋_GBK" w:cs="Times New Roman"/>
          <w:sz w:val="32"/>
          <w:szCs w:val="32"/>
          <w:lang w:eastAsia="zh-CN"/>
        </w:rPr>
        <w:t>相应</w:t>
      </w:r>
      <w:r>
        <w:rPr>
          <w:rFonts w:hint="default" w:ascii="Times New Roman" w:hAnsi="Times New Roman" w:eastAsia="方正仿宋_GBK" w:cs="Times New Roman"/>
          <w:sz w:val="32"/>
          <w:szCs w:val="32"/>
        </w:rPr>
        <w:t>电子印章后上传至国土空间信息平台。</w:t>
      </w:r>
    </w:p>
    <w:p>
      <w:pPr>
        <w:tabs>
          <w:tab w:val="left" w:pos="8820"/>
        </w:tabs>
        <w:spacing w:line="54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（二）签发建设工程规划许可证后，国土空间信息平台自动将办结的建设工程规划许可证及附件附图信息推送至重庆市不动产交易登记管理系统。</w:t>
      </w:r>
    </w:p>
    <w:p>
      <w:pPr>
        <w:tabs>
          <w:tab w:val="left" w:pos="8820"/>
        </w:tabs>
        <w:spacing w:line="540" w:lineRule="exact"/>
        <w:ind w:firstLine="640"/>
        <w:jc w:val="both"/>
        <w:rPr>
          <w:rFonts w:hint="default" w:ascii="Times New Roman" w:hAnsi="Times New Roman" w:eastAsia="方正仿宋_GBK" w:cs="Times New Roman"/>
          <w:color w:val="FF0000"/>
          <w:sz w:val="32"/>
          <w:szCs w:val="32"/>
          <w:u w:val="none"/>
          <w:rPrChange w:id="0" w:author="段儿" w:date="2022-05-18T15:23:41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sz w:val="32"/>
          <w:szCs w:val="32"/>
        </w:rPr>
        <w:t>（三）</w:t>
      </w:r>
      <w:r>
        <w:rPr>
          <w:rFonts w:hint="default" w:ascii="Times New Roman" w:hAnsi="Times New Roman" w:eastAsia="方正仿宋_GBK" w:cs="Times New Roman"/>
          <w:color w:val="FF0000"/>
          <w:sz w:val="32"/>
          <w:szCs w:val="32"/>
          <w:u w:val="none"/>
          <w:rPrChange w:id="1" w:author="段儿" w:date="2022-05-18T15:23:41Z">
            <w:rPr>
              <w:rFonts w:hint="default" w:ascii="Times New Roman" w:hAnsi="Times New Roman" w:eastAsia="方正仿宋_GBK" w:cs="Times New Roman"/>
              <w:sz w:val="32"/>
              <w:szCs w:val="32"/>
            </w:rPr>
          </w:rPrChange>
        </w:rPr>
        <w:t>针对附件3的各类项目，各不动产登记中心应按照项目对应的登记用途进行房屋登记。</w:t>
      </w:r>
    </w:p>
    <w:p>
      <w:pPr>
        <w:pStyle w:val="2"/>
        <w:tabs>
          <w:tab w:val="left" w:pos="7360"/>
        </w:tabs>
        <w:spacing w:after="0" w:line="54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通知自2022年3月1日起施行，原《重庆市规划局关于进一步规范建设项目报建电子文件格式的通知》（渝规发〔2012〕35号）、《重庆市规划局关于进一步规范建设项目报建电子文件格式的补充通知》（渝规发〔2012〕86号）同时废止。</w:t>
      </w:r>
    </w:p>
    <w:p>
      <w:pPr>
        <w:tabs>
          <w:tab w:val="left" w:pos="8820"/>
        </w:tabs>
        <w:spacing w:line="540" w:lineRule="exact"/>
        <w:ind w:firstLine="1920" w:firstLineChars="600"/>
        <w:jc w:val="both"/>
        <w:rPr>
          <w:rFonts w:hint="default" w:ascii="Times New Roman" w:hAnsi="Times New Roman" w:eastAsia="方正仿宋_GBK" w:cs="Times New Roman"/>
          <w:sz w:val="32"/>
          <w:szCs w:val="32"/>
        </w:rPr>
      </w:pPr>
    </w:p>
    <w:p>
      <w:pPr>
        <w:spacing w:line="540" w:lineRule="exact"/>
        <w:ind w:firstLine="64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附件：1．电子文件图形标准</w:t>
      </w:r>
    </w:p>
    <w:p>
      <w:pPr>
        <w:spacing w:line="540" w:lineRule="exact"/>
        <w:ind w:firstLine="1590" w:firstLineChars="497"/>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2．建设工程技术经济指标计算书</w:t>
      </w:r>
    </w:p>
    <w:p>
      <w:pPr>
        <w:spacing w:line="540" w:lineRule="exact"/>
        <w:ind w:firstLine="1590" w:firstLineChars="497"/>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3．特定用地项目房屋功能及登记用途对照表</w:t>
      </w:r>
    </w:p>
    <w:p>
      <w:pPr>
        <w:tabs>
          <w:tab w:val="left" w:pos="8820"/>
        </w:tabs>
        <w:spacing w:line="540" w:lineRule="exact"/>
        <w:ind w:left="-540" w:leftChars="-257" w:right="-178" w:rightChars="-85" w:firstLine="640"/>
        <w:jc w:val="right"/>
        <w:rPr>
          <w:rFonts w:hint="default" w:ascii="Times New Roman" w:hAnsi="Times New Roman" w:eastAsia="方正仿宋_GBK" w:cs="Times New Roman"/>
          <w:sz w:val="32"/>
          <w:szCs w:val="32"/>
        </w:rPr>
      </w:pPr>
    </w:p>
    <w:p>
      <w:pPr>
        <w:tabs>
          <w:tab w:val="left" w:pos="8820"/>
        </w:tabs>
        <w:spacing w:line="540" w:lineRule="exact"/>
        <w:ind w:left="-540" w:leftChars="-257" w:right="-178" w:rightChars="-85" w:firstLine="640"/>
        <w:jc w:val="right"/>
        <w:rPr>
          <w:rFonts w:hint="default" w:ascii="Times New Roman" w:hAnsi="Times New Roman" w:eastAsia="方正仿宋_GBK" w:cs="Times New Roman"/>
          <w:sz w:val="32"/>
          <w:szCs w:val="32"/>
        </w:rPr>
      </w:pPr>
    </w:p>
    <w:p>
      <w:pPr>
        <w:tabs>
          <w:tab w:val="left" w:pos="8820"/>
        </w:tabs>
        <w:spacing w:line="540" w:lineRule="exact"/>
        <w:ind w:left="-540" w:leftChars="-257" w:right="-178" w:rightChars="-85" w:firstLine="640"/>
        <w:jc w:val="right"/>
        <w:rPr>
          <w:rFonts w:hint="default" w:ascii="Times New Roman" w:hAnsi="Times New Roman" w:eastAsia="方正仿宋_GBK" w:cs="Times New Roman"/>
          <w:sz w:val="32"/>
          <w:szCs w:val="32"/>
        </w:rPr>
      </w:pPr>
    </w:p>
    <w:p>
      <w:pPr>
        <w:tabs>
          <w:tab w:val="left" w:pos="8820"/>
        </w:tabs>
        <w:spacing w:line="540" w:lineRule="exact"/>
        <w:ind w:left="-540" w:leftChars="-257" w:right="-178" w:rightChars="-85" w:firstLine="640"/>
        <w:jc w:val="center"/>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重庆市规划和自然资源局</w:t>
      </w:r>
    </w:p>
    <w:p>
      <w:pPr>
        <w:spacing w:line="540" w:lineRule="exact"/>
        <w:ind w:firstLine="640"/>
        <w:jc w:val="center"/>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2022年</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17</w:t>
      </w:r>
      <w:r>
        <w:rPr>
          <w:rFonts w:hint="default" w:ascii="Times New Roman" w:hAnsi="Times New Roman" w:eastAsia="方正仿宋_GBK" w:cs="Times New Roman"/>
          <w:sz w:val="32"/>
          <w:szCs w:val="32"/>
        </w:rPr>
        <w:t>日</w:t>
      </w:r>
    </w:p>
    <w:p>
      <w:pPr>
        <w:tabs>
          <w:tab w:val="left" w:pos="8820"/>
        </w:tabs>
        <w:spacing w:line="540" w:lineRule="exact"/>
        <w:ind w:firstLine="0" w:firstLineChars="0"/>
        <w:jc w:val="left"/>
        <w:rPr>
          <w:rFonts w:hint="default" w:ascii="Times New Roman" w:hAnsi="Times New Roman" w:eastAsia="方正仿宋_GBK" w:cs="Times New Roman"/>
          <w:spacing w:val="-11"/>
          <w:sz w:val="32"/>
          <w:szCs w:val="32"/>
        </w:rPr>
        <w:sectPr>
          <w:headerReference r:id="rId3" w:type="first"/>
          <w:footerReference r:id="rId4" w:type="default"/>
          <w:pgSz w:w="11906" w:h="16838"/>
          <w:pgMar w:top="1984" w:right="1417" w:bottom="1134" w:left="1701" w:header="851" w:footer="1191" w:gutter="0"/>
          <w:cols w:space="0" w:num="1"/>
          <w:titlePg/>
          <w:rtlGutter w:val="0"/>
          <w:docGrid w:type="lines" w:linePitch="435" w:charSpace="0"/>
        </w:sectPr>
      </w:pPr>
      <w:r>
        <w:rPr>
          <w:rFonts w:hint="default" w:ascii="Times New Roman" w:hAnsi="Times New Roman" w:eastAsia="方正仿宋_GBK" w:cs="Times New Roman"/>
          <w:spacing w:val="-11"/>
          <w:sz w:val="32"/>
          <w:szCs w:val="32"/>
        </w:rPr>
        <w:t>（联系人：于笑津，联系电话：67959860</w:t>
      </w:r>
      <w:r>
        <w:rPr>
          <w:rFonts w:hint="eastAsia" w:ascii="Times New Roman" w:hAnsi="Times New Roman" w:eastAsia="方正仿宋_GBK" w:cs="Times New Roman"/>
          <w:spacing w:val="-11"/>
          <w:sz w:val="32"/>
          <w:szCs w:val="32"/>
          <w:lang w:eastAsia="zh-CN"/>
        </w:rPr>
        <w:t>；</w:t>
      </w:r>
      <w:r>
        <w:rPr>
          <w:rFonts w:hint="default" w:ascii="Times New Roman" w:hAnsi="Times New Roman" w:eastAsia="方正仿宋_GBK" w:cs="Times New Roman"/>
          <w:spacing w:val="-11"/>
          <w:sz w:val="32"/>
          <w:szCs w:val="32"/>
        </w:rPr>
        <w:t>张建，联系电话：67206502）</w:t>
      </w:r>
    </w:p>
    <w:p>
      <w:pPr>
        <w:widowControl/>
        <w:jc w:val="left"/>
        <w:rPr>
          <w:rFonts w:hint="eastAsia" w:ascii="仿宋" w:hAnsi="仿宋" w:eastAsia="仿宋" w:cs="仿宋"/>
          <w:sz w:val="32"/>
          <w:szCs w:val="32"/>
        </w:rPr>
        <w:sectPr>
          <w:type w:val="continuous"/>
          <w:pgSz w:w="11906" w:h="16838"/>
          <w:pgMar w:top="1440" w:right="1800" w:bottom="1440" w:left="1800" w:header="720" w:footer="720" w:gutter="0"/>
          <w:cols w:space="720" w:num="1"/>
          <w:docGrid w:type="lines" w:linePitch="435" w:charSpace="0"/>
        </w:sectPr>
      </w:pPr>
    </w:p>
    <w:p>
      <w:pPr>
        <w:spacing w:line="600" w:lineRule="exact"/>
        <w:rPr>
          <w:rFonts w:ascii="Times New Roman" w:hAnsi="Times New Roman" w:cs="Times New Roman"/>
        </w:rPr>
      </w:pPr>
      <w:r>
        <w:rPr>
          <w:rFonts w:ascii="Times New Roman" w:hAnsi="Times New Roman" w:eastAsia="方正黑体_GBK" w:cs="Times New Roman"/>
          <w:sz w:val="32"/>
          <w:szCs w:val="32"/>
        </w:rPr>
        <w:t>附件1</w:t>
      </w:r>
    </w:p>
    <w:p>
      <w:pPr>
        <w:snapToGrid w:val="0"/>
        <w:spacing w:line="600" w:lineRule="exact"/>
        <w:jc w:val="center"/>
        <w:rPr>
          <w:rFonts w:eastAsia="方正小标宋_GBK"/>
          <w:sz w:val="44"/>
          <w:szCs w:val="44"/>
        </w:rPr>
      </w:pPr>
      <w:r>
        <w:rPr>
          <w:rFonts w:eastAsia="方正小标宋_GBK"/>
          <w:sz w:val="44"/>
          <w:szCs w:val="44"/>
        </w:rPr>
        <w:t>电子文件图形标准</w:t>
      </w:r>
    </w:p>
    <w:p>
      <w:pPr>
        <w:pStyle w:val="2"/>
        <w:spacing w:line="600" w:lineRule="exact"/>
        <w:ind w:firstLine="640"/>
      </w:pPr>
    </w:p>
    <w:p>
      <w:pPr>
        <w:spacing w:line="600" w:lineRule="exact"/>
        <w:ind w:firstLine="64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一、成果构成</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1、项目方案涉及到的总平面图、单体平面图、立面图、剖面图。</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2、方案总平面图及每个建筑单体必须为单独的图形文件，文件名称需反应出对应的图纸类型，所有图纸均放入同一文件夹。例如：XX项目总平面图、XX项目X栋平面图。</w:t>
      </w:r>
    </w:p>
    <w:p>
      <w:pPr>
        <w:spacing w:line="600" w:lineRule="exact"/>
        <w:ind w:firstLine="640"/>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二、图纸标准</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1、数据格式：图形采用AutoCAD格式，版本为R2004的DWG文件。</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2、计算单位：建筑面积以平方米为计算单位，计算结果取小数点后2位。</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3、电子文件应与报建设计图纸对应一致。</w:t>
      </w:r>
    </w:p>
    <w:p>
      <w:pPr>
        <w:spacing w:line="600" w:lineRule="exact"/>
        <w:ind w:firstLine="640"/>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三、制图标准</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1、总平面图应在建设用地规划许可证附图上绘制，不得修改现状地形、地物的坐标。</w:t>
      </w:r>
    </w:p>
    <w:p>
      <w:pPr>
        <w:spacing w:line="60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2、分栋建筑各层平面图（含地下建筑）应位于同一个电子文件中，应按照附表要求绘制相关轮廓线及标注。</w:t>
      </w:r>
    </w:p>
    <w:p>
      <w:pPr>
        <w:spacing w:line="600" w:lineRule="exact"/>
        <w:ind w:firstLine="640"/>
        <w:rPr>
          <w:rFonts w:hint="default" w:ascii="Times New Roman" w:hAnsi="Times New Roman" w:eastAsia="方正仿宋_GBK" w:cs="Times New Roman"/>
        </w:rPr>
      </w:pPr>
      <w:r>
        <w:rPr>
          <w:rFonts w:hint="default" w:ascii="Times New Roman" w:hAnsi="Times New Roman" w:eastAsia="方正仿宋_GBK" w:cs="Times New Roman"/>
          <w:sz w:val="32"/>
          <w:szCs w:val="32"/>
        </w:rPr>
        <w:t>3、图形分层应符合表1标准，建筑图形实体颜色应符合表2标准，住宅套内图形实体颜色应符合表3的标准。</w:t>
      </w:r>
    </w:p>
    <w:p>
      <w:pPr>
        <w:widowControl/>
        <w:spacing w:line="600" w:lineRule="exact"/>
        <w:jc w:val="left"/>
        <w:rPr>
          <w:rFonts w:eastAsia="方正黑体_GBK"/>
          <w:sz w:val="32"/>
          <w:szCs w:val="32"/>
        </w:rPr>
      </w:pPr>
      <w:r>
        <w:rPr>
          <w:rFonts w:eastAsia="方正黑体_GBK"/>
        </w:rPr>
        <w:br w:type="page"/>
      </w:r>
      <w:r>
        <w:rPr>
          <w:rFonts w:ascii="Times New Roman" w:hAnsi="Times New Roman" w:eastAsia="方正黑体_GBK" w:cs="Times New Roman"/>
          <w:sz w:val="32"/>
          <w:szCs w:val="32"/>
        </w:rPr>
        <w:t>表1</w:t>
      </w:r>
    </w:p>
    <w:p>
      <w:pPr>
        <w:widowControl/>
        <w:spacing w:line="60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图形分层标准</w:t>
      </w:r>
    </w:p>
    <w:tbl>
      <w:tblPr>
        <w:tblStyle w:val="6"/>
        <w:tblW w:w="844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93"/>
        <w:gridCol w:w="1702"/>
        <w:gridCol w:w="4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图层名</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图层颜色号</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X-B-底层平面</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包含所有在底层平面中的图形实体，X表栋号。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X-F-分层平面&amp;xx-yy</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包含所有各相同建筑结构层中的图形实体；xx、yy分别表示标准层的起、止层数（如：1号楼第5至10层，则图层名为：1-F-分层平面&amp;5-10）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X-D-地下建筑&amp;xx-yy</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包含所有各相同建筑结构不同的地下建筑结构层中的图形实体；xx、yy分别表示标准层的起、止层数（如：建筑负1、2层则图层名为：X-D-地下建筑&amp;1-2）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X-F-分层平面&amp;xx-yy-奇数层</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包含所有各相同建筑结构层中的图形实体；-xx-yy-奇数层表示标准层的起、止层数中的奇数层（如：建筑第5至10层的奇数层，则图层名为：X-F-分层平面&amp;5-9-奇数层，计算的是5、7、9三层的建筑面积）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X-F-分层平面&amp;xx-yy-偶数层</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包含所有各相同建筑结构层中的图形实体；-xx-yy-偶数层表示标准层的起、止层数中的偶数层（如：建筑第5至10层的偶数层，则图层名为：X-F-分层平面&amp;6-10-偶数层，计算的是6、8、10三层的建筑面积）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9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X-F-分层平面-（其他）</w:t>
            </w:r>
          </w:p>
        </w:tc>
        <w:tc>
          <w:tcPr>
            <w:tcW w:w="170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w:t>
            </w:r>
          </w:p>
        </w:tc>
        <w:tc>
          <w:tcPr>
            <w:tcW w:w="4753"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“其他”适用于各种上述内容中未包括的楼层类型。（如： X-F-分层平面（夹层）、X-F-分层平面（屋顶层）、X-F-分层平面（机房层）、X-F-分层平面（水箱间层）等）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trPr>
        <w:tc>
          <w:tcPr>
            <w:tcW w:w="8450"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注：奇、偶数层的层数起止数应与其奇、偶类型一致。（例如：3-31奇数层，2-30偶数层，不得为4-31奇数层，或者2-31偶数层）</w:t>
            </w:r>
          </w:p>
        </w:tc>
      </w:tr>
    </w:tbl>
    <w:p>
      <w:pPr>
        <w:widowControl/>
        <w:jc w:val="left"/>
        <w:rPr>
          <w:bCs/>
        </w:rPr>
        <w:sectPr>
          <w:pgSz w:w="11906" w:h="16838"/>
          <w:pgMar w:top="1984" w:right="1417" w:bottom="1134" w:left="1701" w:header="720" w:footer="1134" w:gutter="0"/>
          <w:cols w:space="0" w:num="1"/>
          <w:rtlGutter w:val="0"/>
          <w:docGrid w:type="lines" w:linePitch="435" w:charSpace="0"/>
        </w:sectPr>
      </w:pPr>
    </w:p>
    <w:p>
      <w:pPr>
        <w:widowControl/>
        <w:jc w:val="left"/>
        <w:rPr>
          <w:rFonts w:eastAsia="方正黑体_GBK"/>
          <w:sz w:val="32"/>
          <w:szCs w:val="32"/>
        </w:rPr>
      </w:pPr>
      <w:r>
        <w:rPr>
          <w:rFonts w:eastAsia="方正黑体_GBK"/>
        </w:rPr>
        <w:br w:type="page"/>
      </w:r>
      <w:r>
        <w:rPr>
          <w:rFonts w:ascii="Times New Roman" w:hAnsi="Times New Roman" w:eastAsia="方正黑体_GBK" w:cs="Times New Roman"/>
          <w:sz w:val="32"/>
          <w:szCs w:val="32"/>
        </w:rPr>
        <w:t>表2</w:t>
      </w:r>
    </w:p>
    <w:p>
      <w:pPr>
        <w:widowControl/>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建筑图形实体颜色标准</w:t>
      </w:r>
    </w:p>
    <w:tbl>
      <w:tblPr>
        <w:tblStyle w:val="6"/>
        <w:tblW w:w="846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 w:type="dxa"/>
          <w:left w:w="0" w:type="dxa"/>
          <w:bottom w:w="0" w:type="dxa"/>
          <w:right w:w="0" w:type="dxa"/>
        </w:tblCellMar>
      </w:tblPr>
      <w:tblGrid>
        <w:gridCol w:w="2235"/>
        <w:gridCol w:w="902"/>
        <w:gridCol w:w="5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01"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图形实体名</w:t>
            </w:r>
          </w:p>
        </w:tc>
        <w:tc>
          <w:tcPr>
            <w:tcW w:w="90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CAD颜色号</w:t>
            </w:r>
          </w:p>
        </w:tc>
        <w:tc>
          <w:tcPr>
            <w:tcW w:w="532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 w:val="28"/>
                <w:szCs w:val="28"/>
              </w:rPr>
            </w:pPr>
            <w:r>
              <w:rPr>
                <w:b/>
                <w:sz w:val="28"/>
                <w:szCs w:val="28"/>
              </w:rPr>
              <w:t>相关说明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323"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底层平面建筑轮廓线（层高≥2.2m）</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50</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层高≥2.2m,闭合Pline，计算全面积。包括：底层建筑的外围水平投影轮廓线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55" w:hRule="atLeast"/>
        </w:trPr>
        <w:tc>
          <w:tcPr>
            <w:tcW w:w="2235"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分层平面建筑轮廓线（层高≥2.2m）</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90</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层高≥2.2m，闭合Pline，计算全面积。包括：地上建筑结构层的外围水平投影轮廓线等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55" w:hRule="atLeast"/>
        </w:trPr>
        <w:tc>
          <w:tcPr>
            <w:tcW w:w="84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hint="default" w:ascii="Times New Roman" w:hAnsi="Times New Roman" w:eastAsia="方正仿宋_GBK" w:cs="Times New Roman"/>
                <w:sz w:val="28"/>
                <w:szCs w:val="28"/>
              </w:rPr>
            </w:pP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13</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坡屋顶和场馆看台下2.1m处的水平截面轮廓线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3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地下平面建筑轮廓线（层高≥2.2m）</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139</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层高≥2.2m，闭合Pline, 计算全面积。包括：地下建筑结构层的外围水平投影轮廓线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3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地下平面最大建筑轮廓线</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131</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闭合Pline，地下建筑结构层的最大外围水平投影轮廓线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20" w:hRule="atLeast"/>
        </w:trPr>
        <w:tc>
          <w:tcPr>
            <w:tcW w:w="2235" w:type="dxa"/>
            <w:vMerge w:val="restart"/>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层高＜2.2m的建筑结构层</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145</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层高＜2.2m，闭合Pline, 计算1/2面积。包括：①地下室、半地下室（车间、商店、车站、仓库、车库）；②设计加以利用、无围护结构的建筑吊脚架空层；③设计加以利用、有围护结构的建筑吊脚架空层、深基础架空层；④立体书库、立体仓库、立体车库；⑤有永久性顶盖无围护结构的场馆看台；⑥设有围护结构不垂直水平面而超出底板外沿的建筑层；⑦有围护结构的舞台灯光控制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95" w:hRule="atLeast"/>
        </w:trPr>
        <w:tc>
          <w:tcPr>
            <w:tcW w:w="84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hint="default" w:ascii="Times New Roman" w:hAnsi="Times New Roman" w:eastAsia="方正仿宋_GBK" w:cs="Times New Roman"/>
                <w:sz w:val="28"/>
                <w:szCs w:val="28"/>
              </w:rPr>
            </w:pP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46</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坡屋顶结构层和场馆看台下1.2m处的水平投影轮廓线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539"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层高＜2.2m的内部建筑物</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40</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闭合Pline，计算1/2面积。包括：楼梯间、储藏室、设备间、门厅、大厅等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6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阳台</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140</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 计算1/2面积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99"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非加盖层采光井、天井</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161</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闭合Pline，不计算建筑面积，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9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atLeas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其他按照水平投影面积一半计算的建筑实体</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atLeas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98</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计算1/2面积。包括：①有永久性顶盖的室外楼梯；②外边线至外墙结构外边线的宽度&gt;2.1m的雨篷；③有永久性顶盖无围护结构的架空走廊；④层高&lt;2.2m，建筑物外有围护结构的落地橱窗、门斗、挑廊、走廊、檐廊；⑤有永久性顶盖无围护结构的落地橱窗、门斗、挑廊、走廊、檐廊；⑥层高&lt;2.2m，建筑物顶部有围护结构的楼梯间、水箱间、电梯机房；⑦有永久性顶盖无围护结构的车棚、货棚、站台、加油站、收费站；⑧层高&lt;2.2m的有围护结构的架空走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795" w:hRule="atLeast"/>
        </w:trPr>
        <w:tc>
          <w:tcPr>
            <w:tcW w:w="2235" w:type="dxa"/>
            <w:tcBorders>
              <w:top w:val="single" w:color="auto" w:sz="4" w:space="0"/>
              <w:left w:val="single" w:color="auto" w:sz="4" w:space="0"/>
              <w:bottom w:val="single" w:color="auto" w:sz="4" w:space="0"/>
              <w:right w:val="single" w:color="auto" w:sz="4" w:space="0"/>
            </w:tcBorders>
            <w:vAlign w:val="center"/>
          </w:tcPr>
          <w:p>
            <w:pPr>
              <w:spacing w:line="400" w:lineRule="atLeas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其他计算全面积的图形实体</w:t>
            </w:r>
          </w:p>
        </w:tc>
        <w:tc>
          <w:tcPr>
            <w:tcW w:w="902" w:type="dxa"/>
            <w:tcBorders>
              <w:top w:val="single" w:color="auto" w:sz="4" w:space="0"/>
              <w:left w:val="single" w:color="auto" w:sz="4" w:space="0"/>
              <w:bottom w:val="single" w:color="auto" w:sz="4" w:space="0"/>
              <w:right w:val="single" w:color="auto" w:sz="4" w:space="0"/>
            </w:tcBorders>
            <w:vAlign w:val="center"/>
          </w:tcPr>
          <w:p>
            <w:pPr>
              <w:spacing w:line="400" w:lineRule="atLeast"/>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122</w:t>
            </w:r>
          </w:p>
        </w:tc>
        <w:tc>
          <w:tcPr>
            <w:tcW w:w="5323"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计算全面积。包括：①层高≥2.2m，建筑物外有围护结构的落地橱窗、门斗、挑廊、走廊、檐廊；②层高≥2.2m，建筑物顶部有围护结构的楼梯间、水箱间、电梯机房；③层高≥2.2m的门厅、大厅；④层高≥2.2m的有围护结构的架空走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 w:type="dxa"/>
            <w:left w:w="0" w:type="dxa"/>
            <w:bottom w:w="0" w:type="dxa"/>
            <w:right w:w="0" w:type="dxa"/>
          </w:tblCellMar>
        </w:tblPrEx>
        <w:trPr>
          <w:trHeight w:val="268" w:hRule="atLeast"/>
        </w:trPr>
        <w:tc>
          <w:tcPr>
            <w:tcW w:w="8460"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注： 1、用于计算建筑面积的各类线应用多义线（Pline），不能采用二维多段线（SPline）表达，多段线自身的线段或节点不得重叠、交叉。</w:t>
            </w:r>
          </w:p>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2、不参与计算建筑面积的图形实体不得使用本标准采用的CAD颜色号。</w:t>
            </w:r>
          </w:p>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设有围护结构不垂直水平面而超出底板外沿的建筑层，按其底板面绘制分层轮廓线。坡屋顶和场馆看台，应在2.1米处和1.2米处分别水平截面轮廓线。以上情况实际的外围水平投影线用除本标准采用的颜色外的其他颜色绘制。</w:t>
            </w:r>
          </w:p>
          <w:p>
            <w:pPr>
              <w:spacing w:line="400" w:lineRule="exact"/>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设有结构层的书库、立体仓库、机械式车库，按结构层绘制分层轮廓线。室外建筑物，包括门斗、眺望间、观望电梯间、阳台、橱窗、挑廊、走廊、室外楼梯、车棚、货棚、站台、雨棚、走廊、檐廊、架空通廊等，应单独绘制轮廓线，分层及底层平面建筑轮廓线应扣除上述室外建筑物绘制。</w:t>
            </w:r>
            <w:r>
              <w:rPr>
                <w:rFonts w:hint="default" w:ascii="Times New Roman" w:hAnsi="Times New Roman" w:eastAsia="方正仿宋_GBK" w:cs="Times New Roman"/>
                <w:sz w:val="28"/>
                <w:szCs w:val="28"/>
              </w:rPr>
              <w:br w:type="page"/>
            </w:r>
          </w:p>
        </w:tc>
      </w:tr>
    </w:tbl>
    <w:p>
      <w:pPr>
        <w:rPr>
          <w:rFonts w:eastAsia="方正黑体_GBK"/>
          <w:sz w:val="32"/>
          <w:szCs w:val="32"/>
        </w:rPr>
      </w:pPr>
      <w:r>
        <w:rPr>
          <w:b/>
        </w:rPr>
        <w:br w:type="page"/>
      </w:r>
      <w:bookmarkStart w:id="0" w:name="OLE_LINK1"/>
      <w:bookmarkStart w:id="1" w:name="OLE_LINK2"/>
      <w:r>
        <w:rPr>
          <w:rFonts w:ascii="Times New Roman" w:hAnsi="Times New Roman" w:eastAsia="方正黑体_GBK" w:cs="Times New Roman"/>
          <w:sz w:val="32"/>
          <w:szCs w:val="32"/>
        </w:rPr>
        <w:t>表3</w:t>
      </w:r>
    </w:p>
    <w:p>
      <w:pPr>
        <w:jc w:val="center"/>
        <w:rPr>
          <w:rFonts w:hint="eastAsia" w:ascii="方正小标宋_GBK" w:hAnsi="方正小标宋_GBK" w:eastAsia="方正小标宋_GBK" w:cs="方正小标宋_GBK"/>
          <w:bCs/>
          <w:sz w:val="22"/>
          <w:szCs w:val="24"/>
        </w:rPr>
      </w:pPr>
      <w:r>
        <w:rPr>
          <w:rFonts w:hint="eastAsia" w:ascii="方正小标宋_GBK" w:hAnsi="方正小标宋_GBK" w:eastAsia="方正小标宋_GBK" w:cs="方正小标宋_GBK"/>
          <w:sz w:val="36"/>
          <w:szCs w:val="36"/>
        </w:rPr>
        <w:t>套内图形实体颜色标准</w:t>
      </w:r>
    </w:p>
    <w:bookmarkEnd w:id="0"/>
    <w:bookmarkEnd w:id="1"/>
    <w:tbl>
      <w:tblPr>
        <w:tblStyle w:val="6"/>
        <w:tblW w:w="8492"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15"/>
        <w:gridCol w:w="1519"/>
        <w:gridCol w:w="4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jc w:val="center"/>
              <w:rPr>
                <w:b/>
                <w:bCs/>
                <w:sz w:val="28"/>
                <w:szCs w:val="28"/>
              </w:rPr>
            </w:pPr>
            <w:r>
              <w:rPr>
                <w:b/>
                <w:bCs/>
                <w:sz w:val="28"/>
                <w:szCs w:val="28"/>
              </w:rPr>
              <w:t>图形要素名</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b/>
                <w:bCs/>
                <w:sz w:val="28"/>
                <w:szCs w:val="28"/>
              </w:rPr>
            </w:pPr>
            <w:r>
              <w:rPr>
                <w:b/>
                <w:bCs/>
                <w:sz w:val="28"/>
                <w:szCs w:val="28"/>
              </w:rPr>
              <w:t>图形要素CAD颜色号</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jc w:val="center"/>
              <w:rPr>
                <w:b/>
                <w:bCs/>
                <w:sz w:val="28"/>
                <w:szCs w:val="28"/>
              </w:rPr>
            </w:pPr>
            <w:r>
              <w:rPr>
                <w:b/>
                <w:bCs/>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套内使用面积轮廓线</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170</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闭合Pline线（按该户内墙线绘制其使用面积，轮廓线包含阳台、入户花园、空中院馆等）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阳台进深&gt;2.4米部分轮廓线   </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241</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套内建筑面积轮廓线</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223</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闭合Pline线（按该户墙体的中轴线进行绘制，轮廓线包含阳台、如入户花园等）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color w:val="FF0000"/>
                <w:sz w:val="28"/>
                <w:szCs w:val="28"/>
              </w:rPr>
            </w:pPr>
            <w:r>
              <w:rPr>
                <w:rFonts w:hint="default" w:ascii="Times New Roman" w:hAnsi="Times New Roman" w:eastAsia="方正仿宋_GBK" w:cs="Times New Roman"/>
                <w:sz w:val="28"/>
                <w:szCs w:val="28"/>
              </w:rPr>
              <w:t>套内建筑轮廓线标注</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28"/>
                <w:szCs w:val="28"/>
              </w:rPr>
            </w:pPr>
            <w:r>
              <w:rPr>
                <w:rFonts w:hint="default" w:ascii="Times New Roman" w:hAnsi="Times New Roman" w:eastAsia="方正仿宋_GBK" w:cs="Times New Roman"/>
                <w:sz w:val="28"/>
                <w:szCs w:val="28"/>
              </w:rPr>
              <w:t>221</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color w:val="FF0000"/>
                <w:sz w:val="28"/>
                <w:szCs w:val="28"/>
              </w:rPr>
            </w:pPr>
            <w:r>
              <w:rPr>
                <w:rFonts w:hint="default" w:ascii="Times New Roman" w:hAnsi="Times New Roman" w:eastAsia="方正仿宋_GBK" w:cs="Times New Roman"/>
                <w:sz w:val="28"/>
                <w:szCs w:val="28"/>
              </w:rPr>
              <w:t>图形对应的单元号和房号文字标注，格式为 “单元号，房号”，无单元号的，仅标注房号。标注文字的插入点必须位于套内建筑轮廓线范围内。如：“1单元，5-1”。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2115"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跃层式住宅通高部分面积轮廓线</w:t>
            </w:r>
          </w:p>
        </w:tc>
        <w:tc>
          <w:tcPr>
            <w:tcW w:w="1519"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181</w:t>
            </w:r>
          </w:p>
        </w:tc>
        <w:tc>
          <w:tcPr>
            <w:tcW w:w="4858" w:type="dxa"/>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闭合Pline线（包含跃层式居住建筑门厅、起居室、餐厅等通高部分）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 w:hRule="atLeast"/>
        </w:trPr>
        <w:tc>
          <w:tcPr>
            <w:tcW w:w="8492" w:type="dxa"/>
            <w:gridSpan w:val="3"/>
            <w:tcBorders>
              <w:top w:val="single" w:color="auto" w:sz="4" w:space="0"/>
              <w:left w:val="single" w:color="auto" w:sz="4" w:space="0"/>
              <w:bottom w:val="single" w:color="auto" w:sz="4" w:space="0"/>
              <w:right w:val="single" w:color="auto" w:sz="4" w:space="0"/>
            </w:tcBorders>
            <w:vAlign w:val="center"/>
          </w:tcPr>
          <w:p>
            <w:pPr>
              <w:pStyle w:val="2"/>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注：非跃层式住宅可不绘制“跃层式住宅通高部分面积轮廓线”。</w:t>
            </w:r>
          </w:p>
        </w:tc>
      </w:tr>
    </w:tbl>
    <w:p>
      <w:pPr>
        <w:widowControl/>
        <w:jc w:val="left"/>
        <w:sectPr>
          <w:type w:val="continuous"/>
          <w:pgSz w:w="11906" w:h="16838"/>
          <w:pgMar w:top="1440" w:right="1800" w:bottom="1440" w:left="1800" w:header="720" w:footer="1134" w:gutter="0"/>
          <w:cols w:space="720" w:num="1"/>
          <w:docGrid w:type="lines" w:linePitch="435" w:charSpace="0"/>
        </w:sectPr>
      </w:pPr>
    </w:p>
    <w:p>
      <w:pPr>
        <w:widowControl/>
        <w:jc w:val="left"/>
        <w:rPr>
          <w:rFonts w:ascii="Times New Roman" w:hAnsi="Times New Roman" w:eastAsia="方正黑体_GBK" w:cs="Times New Roman"/>
          <w:sz w:val="32"/>
          <w:szCs w:val="32"/>
        </w:rPr>
      </w:pPr>
      <w:r>
        <w:rPr>
          <w:szCs w:val="32"/>
        </w:rPr>
        <w:br w:type="page"/>
      </w:r>
      <w:r>
        <w:rPr>
          <w:rFonts w:ascii="Times New Roman" w:hAnsi="Times New Roman" w:eastAsia="方正黑体_GBK" w:cs="Times New Roman"/>
          <w:sz w:val="32"/>
          <w:szCs w:val="32"/>
        </w:rPr>
        <w:t>附件2</w:t>
      </w:r>
    </w:p>
    <w:p>
      <w:pPr>
        <w:ind w:firstLine="640"/>
      </w:pPr>
    </w:p>
    <w:p>
      <w:pPr>
        <w:jc w:val="center"/>
        <w:rPr>
          <w:rFonts w:eastAsia="方正小标宋_GBK"/>
          <w:sz w:val="44"/>
          <w:szCs w:val="56"/>
        </w:rPr>
      </w:pPr>
      <w:r>
        <w:rPr>
          <w:rFonts w:eastAsia="方正小标宋_GBK"/>
          <w:sz w:val="44"/>
          <w:szCs w:val="56"/>
        </w:rPr>
        <w:t>建设工程技术经济指标计算书</w:t>
      </w:r>
    </w:p>
    <w:p>
      <w:pPr>
        <w:ind w:firstLine="640"/>
      </w:pPr>
    </w:p>
    <w:p>
      <w:pPr>
        <w:spacing w:line="600" w:lineRule="exact"/>
        <w:ind w:firstLine="641"/>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1、数据格式：采用</w:t>
      </w:r>
      <w:r>
        <w:rPr>
          <w:rFonts w:hint="default" w:ascii="Times New Roman" w:hAnsi="Times New Roman" w:eastAsia="方正仿宋_GBK" w:cs="Times New Roman"/>
          <w:sz w:val="32"/>
          <w:szCs w:val="32"/>
          <w:lang w:eastAsia="zh-CN"/>
        </w:rPr>
        <w:t>后缀名为</w:t>
      </w:r>
      <w:r>
        <w:rPr>
          <w:rFonts w:hint="default" w:ascii="Times New Roman" w:hAnsi="Times New Roman" w:eastAsia="方正仿宋_GBK" w:cs="Times New Roman"/>
          <w:sz w:val="32"/>
          <w:szCs w:val="32"/>
        </w:rPr>
        <w:t>xlsx</w:t>
      </w:r>
      <w:r>
        <w:rPr>
          <w:rFonts w:hint="default" w:ascii="Times New Roman" w:hAnsi="Times New Roman" w:eastAsia="方正仿宋_GBK" w:cs="Times New Roman"/>
          <w:sz w:val="32"/>
          <w:szCs w:val="32"/>
          <w:lang w:eastAsia="zh-CN"/>
        </w:rPr>
        <w:t>的</w:t>
      </w:r>
      <w:r>
        <w:rPr>
          <w:rFonts w:hint="default" w:ascii="Times New Roman" w:hAnsi="Times New Roman" w:eastAsia="方正仿宋_GBK" w:cs="Times New Roman"/>
          <w:sz w:val="32"/>
          <w:szCs w:val="32"/>
        </w:rPr>
        <w:t>文件。</w:t>
      </w:r>
    </w:p>
    <w:p>
      <w:pPr>
        <w:spacing w:line="600" w:lineRule="exact"/>
        <w:ind w:firstLine="641"/>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2、计算单位：</w:t>
      </w:r>
      <w:r>
        <w:rPr>
          <w:rFonts w:hint="default" w:ascii="Times New Roman" w:hAnsi="Times New Roman" w:eastAsia="方正仿宋_GBK" w:cs="Times New Roman"/>
          <w:sz w:val="32"/>
          <w:szCs w:val="32"/>
          <w:lang w:eastAsia="zh-CN"/>
        </w:rPr>
        <w:t>建筑</w:t>
      </w:r>
      <w:r>
        <w:rPr>
          <w:rFonts w:hint="default" w:ascii="Times New Roman" w:hAnsi="Times New Roman" w:eastAsia="方正仿宋_GBK" w:cs="Times New Roman"/>
          <w:sz w:val="32"/>
          <w:szCs w:val="32"/>
        </w:rPr>
        <w:t>面积以平方米为计算单位，计算结果取小数点后2位。</w:t>
      </w:r>
    </w:p>
    <w:p>
      <w:pPr>
        <w:spacing w:line="600" w:lineRule="exact"/>
        <w:ind w:firstLine="641"/>
        <w:rPr>
          <w:sz w:val="32"/>
          <w:szCs w:val="32"/>
        </w:rPr>
      </w:pPr>
      <w:r>
        <w:rPr>
          <w:rFonts w:hint="default" w:ascii="Times New Roman" w:hAnsi="Times New Roman" w:eastAsia="方正仿宋_GBK" w:cs="Times New Roman"/>
          <w:sz w:val="32"/>
          <w:szCs w:val="32"/>
        </w:rPr>
        <w:t>3、电子文件应与报建文件对应一致。</w:t>
      </w:r>
    </w:p>
    <w:p>
      <w:pPr>
        <w:widowControl/>
        <w:jc w:val="left"/>
        <w:rPr>
          <w:sz w:val="32"/>
          <w:szCs w:val="32"/>
        </w:rPr>
        <w:sectPr>
          <w:type w:val="continuous"/>
          <w:pgSz w:w="11906" w:h="16838"/>
          <w:pgMar w:top="1440" w:right="1800" w:bottom="1440" w:left="1800" w:header="720" w:footer="1134" w:gutter="0"/>
          <w:cols w:space="720" w:num="1"/>
          <w:docGrid w:type="lines" w:linePitch="435" w:charSpace="0"/>
        </w:sectPr>
      </w:pPr>
    </w:p>
    <w:p>
      <w:pPr>
        <w:rPr>
          <w:sz w:val="32"/>
          <w:szCs w:val="32"/>
        </w:rPr>
      </w:pPr>
    </w:p>
    <w:p/>
    <w:p>
      <w:pPr>
        <w:widowControl/>
        <w:jc w:val="left"/>
      </w:pPr>
      <w:r>
        <w:br w:type="page"/>
      </w:r>
    </w:p>
    <w:p/>
    <w:p>
      <w:pPr>
        <w:pStyle w:val="2"/>
        <w:ind w:firstLine="640"/>
      </w:pPr>
    </w:p>
    <w:p>
      <w:pPr>
        <w:pStyle w:val="2"/>
        <w:ind w:firstLine="640"/>
      </w:pPr>
    </w:p>
    <w:p>
      <w:pPr>
        <w:pStyle w:val="2"/>
        <w:ind w:firstLine="640"/>
      </w:pPr>
    </w:p>
    <w:p>
      <w:pPr>
        <w:pStyle w:val="2"/>
        <w:ind w:firstLine="640"/>
      </w:pPr>
    </w:p>
    <w:p>
      <w:pPr>
        <w:adjustRightInd w:val="0"/>
        <w:snapToGrid w:val="0"/>
        <w:jc w:val="center"/>
        <w:rPr>
          <w:rFonts w:eastAsia="方正小标宋_GBK"/>
          <w:b/>
          <w:sz w:val="72"/>
          <w:szCs w:val="72"/>
        </w:rPr>
      </w:pPr>
      <w:r>
        <w:rPr>
          <w:rFonts w:eastAsia="方正小标宋_GBK"/>
          <w:b/>
          <w:sz w:val="72"/>
          <w:szCs w:val="72"/>
        </w:rPr>
        <w:t>建设工程</w:t>
      </w:r>
    </w:p>
    <w:p>
      <w:pPr>
        <w:adjustRightInd w:val="0"/>
        <w:snapToGrid w:val="0"/>
        <w:jc w:val="center"/>
        <w:rPr>
          <w:rFonts w:eastAsia="方正小标宋_GBK"/>
          <w:b/>
          <w:sz w:val="72"/>
          <w:szCs w:val="72"/>
        </w:rPr>
      </w:pPr>
      <w:r>
        <w:rPr>
          <w:rFonts w:eastAsia="方正小标宋_GBK"/>
          <w:b/>
          <w:sz w:val="72"/>
          <w:szCs w:val="72"/>
        </w:rPr>
        <w:t>技术经济指标计算书</w:t>
      </w:r>
    </w:p>
    <w:p>
      <w:pPr>
        <w:ind w:firstLine="640"/>
        <w:jc w:val="center"/>
      </w:pPr>
    </w:p>
    <w:p>
      <w:pPr>
        <w:ind w:firstLine="640"/>
        <w:jc w:val="center"/>
      </w:pPr>
    </w:p>
    <w:p>
      <w:pPr>
        <w:ind w:firstLine="640"/>
        <w:jc w:val="center"/>
      </w:pPr>
    </w:p>
    <w:p>
      <w:pPr>
        <w:ind w:firstLine="640"/>
        <w:jc w:val="center"/>
      </w:pPr>
    </w:p>
    <w:p>
      <w:pPr>
        <w:pStyle w:val="2"/>
        <w:ind w:firstLine="640"/>
      </w:pPr>
    </w:p>
    <w:p>
      <w:pPr>
        <w:pStyle w:val="2"/>
        <w:ind w:firstLine="640"/>
      </w:pPr>
    </w:p>
    <w:p>
      <w:pPr>
        <w:pStyle w:val="2"/>
        <w:ind w:firstLine="640"/>
      </w:pPr>
    </w:p>
    <w:p>
      <w:pPr>
        <w:pStyle w:val="2"/>
        <w:ind w:firstLine="640"/>
      </w:pPr>
    </w:p>
    <w:p>
      <w:pPr>
        <w:pStyle w:val="2"/>
        <w:ind w:firstLine="640"/>
        <w:rPr>
          <w:sz w:val="32"/>
          <w:szCs w:val="32"/>
        </w:rPr>
      </w:pPr>
    </w:p>
    <w:p>
      <w:pPr>
        <w:spacing w:line="560" w:lineRule="exact"/>
        <w:jc w:val="center"/>
        <w:rPr>
          <w:sz w:val="32"/>
          <w:szCs w:val="32"/>
        </w:rPr>
      </w:pPr>
      <w:r>
        <w:rPr>
          <w:sz w:val="32"/>
          <w:szCs w:val="32"/>
        </w:rPr>
        <w:t>建设单位：XXXXXX</w:t>
      </w:r>
    </w:p>
    <w:p>
      <w:pPr>
        <w:spacing w:line="560" w:lineRule="exact"/>
        <w:jc w:val="center"/>
        <w:rPr>
          <w:sz w:val="32"/>
          <w:szCs w:val="32"/>
        </w:rPr>
      </w:pPr>
      <w:r>
        <w:rPr>
          <w:sz w:val="32"/>
          <w:szCs w:val="32"/>
        </w:rPr>
        <w:t>项目名称：XXXXXX</w:t>
      </w:r>
    </w:p>
    <w:p>
      <w:pPr>
        <w:spacing w:line="560" w:lineRule="exact"/>
        <w:jc w:val="center"/>
        <w:rPr>
          <w:sz w:val="32"/>
          <w:szCs w:val="32"/>
        </w:rPr>
      </w:pPr>
      <w:r>
        <w:rPr>
          <w:sz w:val="32"/>
          <w:szCs w:val="32"/>
        </w:rPr>
        <w:t>设计单位：XXXXXX</w:t>
      </w:r>
    </w:p>
    <w:p>
      <w:pPr>
        <w:spacing w:line="560" w:lineRule="exact"/>
        <w:jc w:val="center"/>
        <w:rPr>
          <w:sz w:val="32"/>
          <w:szCs w:val="32"/>
        </w:rPr>
      </w:pPr>
      <w:r>
        <w:rPr>
          <w:sz w:val="32"/>
          <w:szCs w:val="32"/>
        </w:rPr>
        <w:t>时    间：XXXXXX</w:t>
      </w:r>
    </w:p>
    <w:p>
      <w:pPr>
        <w:widowControl/>
        <w:spacing w:line="560" w:lineRule="exact"/>
        <w:jc w:val="left"/>
        <w:sectPr>
          <w:type w:val="continuous"/>
          <w:pgSz w:w="11906" w:h="16838"/>
          <w:pgMar w:top="1440" w:right="1800" w:bottom="1440" w:left="1800" w:header="720" w:footer="1134" w:gutter="0"/>
          <w:cols w:space="720" w:num="1"/>
          <w:docGrid w:type="lines" w:linePitch="435" w:charSpace="0"/>
        </w:sectPr>
      </w:pPr>
    </w:p>
    <w:p>
      <w:pPr>
        <w:widowControl/>
        <w:jc w:val="left"/>
        <w:rPr>
          <w:sz w:val="32"/>
          <w:szCs w:val="32"/>
        </w:rPr>
      </w:pPr>
      <w:r>
        <w:rPr>
          <w:rFonts w:eastAsia="方正黑体_GBK"/>
          <w:bCs/>
          <w:szCs w:val="32"/>
        </w:rPr>
        <w:br w:type="page"/>
      </w:r>
      <w:r>
        <w:rPr>
          <w:rFonts w:eastAsia="方正黑体_GBK"/>
          <w:sz w:val="32"/>
          <w:szCs w:val="32"/>
        </w:rPr>
        <w:t>表一</w:t>
      </w:r>
    </w:p>
    <w:p>
      <w:pPr>
        <w:ind w:firstLine="643"/>
        <w:jc w:val="center"/>
      </w:pPr>
      <w:r>
        <w:rPr>
          <w:rFonts w:eastAsia="方正小标宋_GBK"/>
          <w:sz w:val="36"/>
          <w:szCs w:val="36"/>
        </w:rPr>
        <w:t>技术经济指标一览表（民用项目）</w:t>
      </w:r>
    </w:p>
    <w:tbl>
      <w:tblPr>
        <w:tblStyle w:val="6"/>
        <w:tblW w:w="843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19"/>
        <w:gridCol w:w="392"/>
        <w:gridCol w:w="2308"/>
        <w:gridCol w:w="2032"/>
        <w:gridCol w:w="2159"/>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项    目</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规划条件</w:t>
            </w: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设计数值</w:t>
            </w: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b/>
                <w:sz w:val="21"/>
                <w:szCs w:val="21"/>
              </w:rPr>
            </w:pPr>
            <w:r>
              <w:rPr>
                <w:rFonts w:ascii="Times New Roman" w:hAnsi="Times New Roman" w:cs="Times New Roman"/>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建设用地面积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居住户数</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b/>
                <w:bCs/>
                <w:sz w:val="21"/>
                <w:szCs w:val="21"/>
              </w:rPr>
              <w:t>居住人口</w:t>
            </w:r>
            <w:r>
              <w:rPr>
                <w:rFonts w:ascii="Times New Roman" w:hAnsi="Times New Roman" w:cs="Times New Roman"/>
                <w:sz w:val="21"/>
                <w:szCs w:val="21"/>
              </w:rPr>
              <w:t>（注1）</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总建筑面积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vertAlign w:val="superscript"/>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1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Cs/>
                <w:sz w:val="21"/>
                <w:szCs w:val="21"/>
              </w:rPr>
              <w:t>其中</w:t>
            </w:r>
          </w:p>
        </w:tc>
        <w:tc>
          <w:tcPr>
            <w:tcW w:w="27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sz w:val="21"/>
                <w:szCs w:val="21"/>
              </w:rPr>
            </w:pPr>
            <w:r>
              <w:rPr>
                <w:rFonts w:ascii="Times New Roman" w:hAnsi="Times New Roman" w:cs="Times New Roman"/>
                <w:sz w:val="21"/>
                <w:szCs w:val="21"/>
              </w:rPr>
              <w:t>地上建筑面积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vertAlign w:val="superscript"/>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b/>
                <w:bCs/>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sz w:val="21"/>
                <w:szCs w:val="21"/>
              </w:rPr>
            </w:pPr>
            <w:r>
              <w:rPr>
                <w:rFonts w:ascii="Times New Roman" w:hAnsi="Times New Roman" w:cs="Times New Roman"/>
                <w:sz w:val="21"/>
                <w:szCs w:val="21"/>
              </w:rPr>
              <w:t>地下建筑面积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vertAlign w:val="superscript"/>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sz w:val="21"/>
                <w:szCs w:val="21"/>
              </w:rPr>
              <w:t>1、住宅</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sz w:val="21"/>
                <w:szCs w:val="21"/>
              </w:rPr>
              <w:t>2、配套设施（注2）</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restart"/>
            <w:tcBorders>
              <w:top w:val="single" w:color="auto" w:sz="4" w:space="0"/>
              <w:left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r>
              <w:rPr>
                <w:rFonts w:ascii="Times New Roman" w:hAnsi="Times New Roman" w:cs="Times New Roman"/>
                <w:bCs/>
                <w:sz w:val="21"/>
                <w:szCs w:val="21"/>
              </w:rPr>
              <w:t>其中</w:t>
            </w: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bCs/>
                <w:sz w:val="21"/>
                <w:szCs w:val="21"/>
              </w:rPr>
              <w:t>1）幼儿园</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continue"/>
            <w:tcBorders>
              <w:left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bCs/>
                <w:sz w:val="21"/>
                <w:szCs w:val="21"/>
              </w:rPr>
              <w:t>2）社区组织工作用房</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continue"/>
            <w:tcBorders>
              <w:left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bCs/>
                <w:sz w:val="21"/>
                <w:szCs w:val="21"/>
              </w:rPr>
              <w:t>3）物管用房</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continue"/>
            <w:tcBorders>
              <w:left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Cs/>
                <w:sz w:val="21"/>
                <w:szCs w:val="21"/>
              </w:rPr>
            </w:pPr>
            <w:r>
              <w:rPr>
                <w:rFonts w:ascii="Times New Roman" w:hAnsi="Times New Roman" w:cs="Times New Roman"/>
                <w:bCs/>
                <w:sz w:val="21"/>
                <w:szCs w:val="21"/>
              </w:rPr>
              <w:t>4）公厕</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vMerge w:val="continue"/>
            <w:tcBorders>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hint="default" w:ascii="Times New Roman" w:hAnsi="Times New Roman" w:eastAsia="宋体" w:cs="Times New Roman"/>
                <w:bCs/>
                <w:sz w:val="21"/>
                <w:szCs w:val="21"/>
                <w:lang w:eastAsia="zh-CN"/>
              </w:rPr>
            </w:pPr>
            <w:r>
              <w:rPr>
                <w:rFonts w:ascii="Times New Roman" w:hAnsi="Times New Roman" w:cs="Times New Roman"/>
                <w:bCs/>
                <w:sz w:val="21"/>
                <w:szCs w:val="21"/>
              </w:rPr>
              <w:t>5）</w:t>
            </w:r>
            <w:r>
              <w:rPr>
                <w:rFonts w:hint="default" w:ascii="Times New Roman" w:hAnsi="Times New Roman" w:cs="Times New Roman"/>
                <w:bCs/>
                <w:sz w:val="21"/>
                <w:szCs w:val="21"/>
                <w:lang w:eastAsia="zh-CN"/>
              </w:rPr>
              <w:t>倒班楼（宿舍）</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392" w:type="dxa"/>
            <w:tcBorders>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p>
        </w:tc>
        <w:tc>
          <w:tcPr>
            <w:tcW w:w="2308"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Cs/>
                <w:sz w:val="21"/>
                <w:szCs w:val="21"/>
              </w:rPr>
            </w:pPr>
            <w:r>
              <w:rPr>
                <w:rFonts w:hint="default" w:ascii="Times New Roman" w:hAnsi="Times New Roman" w:cs="Times New Roman"/>
                <w:bCs/>
                <w:sz w:val="21"/>
                <w:szCs w:val="21"/>
                <w:lang w:val="en-US" w:eastAsia="zh-CN"/>
              </w:rPr>
              <w:t>6</w:t>
            </w:r>
            <w:r>
              <w:rPr>
                <w:rFonts w:ascii="Times New Roman" w:hAnsi="Times New Roman" w:cs="Times New Roman"/>
                <w:bCs/>
                <w:sz w:val="21"/>
                <w:szCs w:val="21"/>
              </w:rPr>
              <w:t>）……</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Cs/>
                <w:sz w:val="21"/>
                <w:szCs w:val="21"/>
              </w:rPr>
            </w:pPr>
            <w:r>
              <w:rPr>
                <w:rFonts w:ascii="Times New Roman" w:hAnsi="Times New Roman" w:cs="Times New Roman"/>
                <w:sz w:val="21"/>
                <w:szCs w:val="21"/>
              </w:rPr>
              <w:t>3、公建（注3）</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sz w:val="21"/>
                <w:szCs w:val="21"/>
              </w:rPr>
              <w:t>4、车库及设备用房</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ascii="Times New Roman" w:hAnsi="Times New Roman" w:cs="Times New Roman"/>
                <w:sz w:val="21"/>
                <w:szCs w:val="21"/>
              </w:rPr>
              <w:t>5、其他（注4）</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sz w:val="21"/>
                <w:szCs w:val="21"/>
              </w:rPr>
            </w:pPr>
            <w:r>
              <w:rPr>
                <w:rFonts w:ascii="Times New Roman" w:hAnsi="Times New Roman" w:cs="Times New Roman"/>
                <w:b/>
                <w:sz w:val="21"/>
                <w:szCs w:val="21"/>
              </w:rPr>
              <w:t>总计容建筑面积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b/>
                <w:sz w:val="21"/>
                <w:szCs w:val="21"/>
              </w:rPr>
            </w:pPr>
            <w:r>
              <w:rPr>
                <w:rFonts w:ascii="Times New Roman" w:hAnsi="Times New Roman" w:cs="Times New Roman"/>
                <w:b/>
                <w:sz w:val="21"/>
                <w:szCs w:val="21"/>
              </w:rPr>
              <w:t>住宅建筑计容建筑面积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cs="Times New Roman"/>
                <w:b/>
                <w:sz w:val="21"/>
                <w:szCs w:val="21"/>
              </w:rPr>
            </w:pPr>
            <w:r>
              <w:rPr>
                <w:rFonts w:ascii="Times New Roman" w:hAnsi="Times New Roman" w:cs="Times New Roman"/>
                <w:b/>
                <w:sz w:val="21"/>
                <w:szCs w:val="21"/>
              </w:rPr>
              <w:t>容积率</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建筑密度</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sz w:val="21"/>
                <w:szCs w:val="21"/>
              </w:rPr>
            </w:pPr>
            <w:r>
              <w:rPr>
                <w:rFonts w:ascii="Times New Roman" w:hAnsi="Times New Roman" w:cs="Times New Roman"/>
                <w:b/>
                <w:sz w:val="21"/>
                <w:szCs w:val="21"/>
              </w:rPr>
              <w:t>住宅建筑净密度</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sz w:val="21"/>
                <w:szCs w:val="21"/>
              </w:rPr>
            </w:pPr>
            <w:r>
              <w:rPr>
                <w:rFonts w:ascii="Times New Roman" w:hAnsi="Times New Roman" w:cs="Times New Roman"/>
                <w:b/>
                <w:sz w:val="21"/>
                <w:szCs w:val="21"/>
              </w:rPr>
              <w:t>配建体育设施用地面积</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绿地率</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9"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b/>
                <w:bCs/>
                <w:sz w:val="21"/>
                <w:szCs w:val="21"/>
              </w:rPr>
            </w:pPr>
            <w:r>
              <w:rPr>
                <w:rFonts w:ascii="Times New Roman" w:hAnsi="Times New Roman" w:cs="Times New Roman"/>
                <w:b/>
                <w:bCs/>
                <w:sz w:val="21"/>
                <w:szCs w:val="21"/>
              </w:rPr>
              <w:t>停车位</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r>
              <w:rPr>
                <w:rFonts w:ascii="Times New Roman" w:hAnsi="Times New Roman" w:cs="Times New Roman"/>
                <w:bCs/>
                <w:sz w:val="21"/>
                <w:szCs w:val="21"/>
              </w:rPr>
              <w:t>其中</w:t>
            </w: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hint="default" w:ascii="Times New Roman" w:hAnsi="Times New Roman" w:cs="Times New Roman"/>
                <w:sz w:val="21"/>
                <w:szCs w:val="21"/>
              </w:rPr>
              <w:t>①</w:t>
            </w:r>
            <w:r>
              <w:rPr>
                <w:rFonts w:ascii="Times New Roman" w:hAnsi="Times New Roman" w:cs="Times New Roman"/>
                <w:sz w:val="21"/>
                <w:szCs w:val="21"/>
              </w:rPr>
              <w:t>室外</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4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rFonts w:ascii="Times New Roman" w:hAnsi="Times New Roman" w:cs="Times New Roman"/>
                <w:sz w:val="21"/>
                <w:szCs w:val="21"/>
              </w:rPr>
            </w:pPr>
          </w:p>
        </w:tc>
        <w:tc>
          <w:tcPr>
            <w:tcW w:w="2700"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320" w:lineRule="exact"/>
              <w:rPr>
                <w:rFonts w:ascii="Times New Roman" w:hAnsi="Times New Roman" w:cs="Times New Roman"/>
                <w:sz w:val="21"/>
                <w:szCs w:val="21"/>
              </w:rPr>
            </w:pPr>
            <w:r>
              <w:rPr>
                <w:rFonts w:hint="default" w:ascii="Times New Roman" w:hAnsi="Times New Roman" w:cs="Times New Roman"/>
                <w:sz w:val="21"/>
                <w:szCs w:val="21"/>
              </w:rPr>
              <w:t>②</w:t>
            </w:r>
            <w:r>
              <w:rPr>
                <w:rFonts w:ascii="Times New Roman" w:hAnsi="Times New Roman" w:cs="Times New Roman"/>
                <w:sz w:val="21"/>
                <w:szCs w:val="21"/>
              </w:rPr>
              <w:t>室内</w:t>
            </w:r>
          </w:p>
        </w:tc>
        <w:tc>
          <w:tcPr>
            <w:tcW w:w="2032"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2159"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c>
          <w:tcPr>
            <w:tcW w:w="1120" w:type="dxa"/>
            <w:tcBorders>
              <w:top w:val="single" w:color="auto" w:sz="4" w:space="0"/>
              <w:left w:val="single" w:color="auto" w:sz="4" w:space="0"/>
              <w:bottom w:val="single" w:color="auto" w:sz="4" w:space="0"/>
              <w:right w:val="single" w:color="auto" w:sz="4" w:space="0"/>
            </w:tcBorders>
            <w:vAlign w:val="center"/>
          </w:tcPr>
          <w:p>
            <w:pPr>
              <w:adjustRightInd w:val="0"/>
              <w:spacing w:line="320" w:lineRule="exact"/>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430" w:type="dxa"/>
            <w:gridSpan w:val="6"/>
            <w:tcBorders>
              <w:top w:val="single" w:color="auto" w:sz="4" w:space="0"/>
              <w:left w:val="single" w:color="auto" w:sz="4" w:space="0"/>
              <w:bottom w:val="single" w:color="auto" w:sz="4" w:space="0"/>
              <w:right w:val="single" w:color="auto" w:sz="4" w:space="0"/>
            </w:tcBorders>
            <w:vAlign w:val="center"/>
          </w:tcPr>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注：1、居住人口一般每户按3.2人计算，公租房按《公共租赁房设计标准》（DBJ50/T-133-2011）执行。</w:t>
            </w:r>
          </w:p>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2、配套设施是指按国家相关规定和《建设用地规划许可证》要求配置的公共设施及配套用房。表中各项可根据本项目规划实际要求自行增减。</w:t>
            </w:r>
          </w:p>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3、公共建筑（不含配套设施）是指商业、商务办公、科研及其他可供人们进行各种公共活动的建筑，按照房屋用途分类表进行分类。</w:t>
            </w:r>
          </w:p>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4、不属于住宅、公建、配套设施、车库、设备用房等功能的，如架空层、转换层等其他建筑功能列入“其他”栏。</w:t>
            </w:r>
          </w:p>
          <w:p>
            <w:pPr>
              <w:adjustRightInd w:val="0"/>
              <w:spacing w:line="300" w:lineRule="exact"/>
              <w:rPr>
                <w:rFonts w:ascii="Times New Roman" w:hAnsi="Times New Roman" w:cs="Times New Roman"/>
                <w:sz w:val="21"/>
                <w:szCs w:val="21"/>
              </w:rPr>
            </w:pPr>
            <w:r>
              <w:rPr>
                <w:rFonts w:ascii="Times New Roman" w:hAnsi="Times New Roman" w:cs="Times New Roman"/>
                <w:sz w:val="21"/>
                <w:szCs w:val="21"/>
              </w:rPr>
              <w:t>5、体育设施用地配建标准为：每户1.5平方米。</w:t>
            </w:r>
          </w:p>
        </w:tc>
      </w:tr>
    </w:tbl>
    <w:p>
      <w:pPr>
        <w:pStyle w:val="2"/>
        <w:spacing w:line="600" w:lineRule="exact"/>
        <w:ind w:firstLine="0"/>
        <w:rPr>
          <w:rFonts w:hint="eastAsia" w:eastAsia="方正黑体_GBK"/>
          <w:sz w:val="32"/>
          <w:szCs w:val="32"/>
        </w:rPr>
      </w:pPr>
      <w:r>
        <w:rPr>
          <w:rFonts w:eastAsia="方正黑体_GBK"/>
          <w:sz w:val="32"/>
          <w:szCs w:val="32"/>
        </w:rPr>
        <w:t>表</w:t>
      </w:r>
      <w:r>
        <w:rPr>
          <w:rFonts w:hint="eastAsia" w:eastAsia="方正黑体_GBK"/>
          <w:sz w:val="32"/>
          <w:szCs w:val="32"/>
        </w:rPr>
        <w:t>一</w:t>
      </w:r>
    </w:p>
    <w:p>
      <w:pPr>
        <w:spacing w:line="600" w:lineRule="exact"/>
        <w:ind w:firstLine="640"/>
        <w:jc w:val="center"/>
        <w:rPr>
          <w:rFonts w:eastAsia="方正小标宋_GBK"/>
          <w:sz w:val="36"/>
          <w:szCs w:val="36"/>
        </w:rPr>
      </w:pPr>
      <w:r>
        <w:rPr>
          <w:rFonts w:eastAsia="方正小标宋_GBK"/>
          <w:sz w:val="36"/>
          <w:szCs w:val="36"/>
        </w:rPr>
        <w:t>技术经济指标一览表（工业</w:t>
      </w:r>
      <w:r>
        <w:rPr>
          <w:rFonts w:eastAsia="方正小标宋_GBK"/>
          <w:color w:val="000000"/>
          <w:sz w:val="36"/>
          <w:szCs w:val="36"/>
        </w:rPr>
        <w:t>项目</w:t>
      </w:r>
      <w:r>
        <w:rPr>
          <w:rFonts w:eastAsia="方正小标宋_GBK"/>
          <w:sz w:val="36"/>
          <w:szCs w:val="36"/>
        </w:rPr>
        <w:t>）</w:t>
      </w:r>
    </w:p>
    <w:tbl>
      <w:tblPr>
        <w:tblStyle w:val="6"/>
        <w:tblW w:w="843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74"/>
        <w:gridCol w:w="364"/>
        <w:gridCol w:w="2380"/>
        <w:gridCol w:w="2030"/>
        <w:gridCol w:w="2161"/>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0" w:hRule="atLeast"/>
        </w:trPr>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
                <w:sz w:val="24"/>
              </w:rPr>
            </w:pPr>
            <w:r>
              <w:rPr>
                <w:rFonts w:ascii="Times New Roman" w:hAnsi="Times New Roman" w:cs="Times New Roman"/>
                <w:b/>
                <w:sz w:val="24"/>
              </w:rPr>
              <w:t>项    目</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
                <w:sz w:val="24"/>
              </w:rPr>
            </w:pPr>
            <w:r>
              <w:rPr>
                <w:rFonts w:ascii="Times New Roman" w:hAnsi="Times New Roman" w:cs="Times New Roman"/>
                <w:b/>
                <w:sz w:val="24"/>
              </w:rPr>
              <w:t>规划条件</w:t>
            </w: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
                <w:sz w:val="24"/>
              </w:rPr>
            </w:pPr>
            <w:r>
              <w:rPr>
                <w:rFonts w:ascii="Times New Roman" w:hAnsi="Times New Roman" w:cs="Times New Roman"/>
                <w:b/>
                <w:sz w:val="24"/>
              </w:rPr>
              <w:t>设计数值</w:t>
            </w: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
                <w:sz w:val="24"/>
              </w:rPr>
            </w:pPr>
            <w:r>
              <w:rPr>
                <w:rFonts w:ascii="Times New Roman" w:hAnsi="Times New Roman" w:cs="Times New Roman"/>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建设用地面积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总建筑面积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vertAlign w:val="superscript"/>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bCs/>
                <w:sz w:val="24"/>
              </w:rPr>
            </w:pPr>
            <w:r>
              <w:rPr>
                <w:rFonts w:ascii="Times New Roman" w:hAnsi="Times New Roman" w:cs="Times New Roman"/>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cs="Times New Roman"/>
                <w:sz w:val="24"/>
              </w:rPr>
            </w:pPr>
            <w:r>
              <w:rPr>
                <w:rFonts w:ascii="Times New Roman" w:hAnsi="Times New Roman" w:cs="Times New Roman"/>
                <w:sz w:val="24"/>
              </w:rPr>
              <w:t>地上建筑面积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bCs/>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cs="Times New Roman"/>
                <w:sz w:val="24"/>
              </w:rPr>
            </w:pPr>
            <w:r>
              <w:rPr>
                <w:rFonts w:ascii="Times New Roman" w:hAnsi="Times New Roman" w:cs="Times New Roman"/>
                <w:sz w:val="24"/>
              </w:rPr>
              <w:t>地下建筑面积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restart"/>
            <w:tcBorders>
              <w:top w:val="single" w:color="auto" w:sz="4" w:space="0"/>
              <w:left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r>
              <w:rPr>
                <w:rFonts w:ascii="Times New Roman" w:hAnsi="Times New Roman" w:cs="Times New Roman"/>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1、工业建筑（注1）</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2、配套设施（注2）</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r>
              <w:rPr>
                <w:rFonts w:ascii="Times New Roman" w:hAnsi="Times New Roman" w:cs="Times New Roman"/>
                <w:bCs/>
                <w:sz w:val="24"/>
              </w:rPr>
              <w:t>其中</w:t>
            </w: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bCs/>
                <w:sz w:val="24"/>
              </w:rPr>
              <w:t>1）办公</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hint="default" w:ascii="Times New Roman" w:hAnsi="Times New Roman" w:eastAsia="宋体" w:cs="Times New Roman"/>
                <w:sz w:val="24"/>
                <w:lang w:val="en-US" w:eastAsia="zh-CN"/>
              </w:rPr>
            </w:pPr>
            <w:r>
              <w:rPr>
                <w:rFonts w:ascii="Times New Roman" w:hAnsi="Times New Roman" w:cs="Times New Roman"/>
                <w:bCs/>
                <w:sz w:val="24"/>
              </w:rPr>
              <w:t>2）倒班楼</w:t>
            </w:r>
            <w:r>
              <w:rPr>
                <w:rFonts w:hint="default" w:ascii="Times New Roman" w:hAnsi="Times New Roman" w:cs="Times New Roman"/>
                <w:bCs/>
                <w:sz w:val="24"/>
                <w:lang w:eastAsia="zh-CN"/>
              </w:rPr>
              <w:t>（宿舍）</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bCs/>
                <w:sz w:val="24"/>
              </w:rPr>
              <w:t>3）食堂</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Cs/>
                <w:sz w:val="24"/>
              </w:rPr>
            </w:pPr>
            <w:r>
              <w:rPr>
                <w:rFonts w:ascii="Times New Roman" w:hAnsi="Times New Roman" w:cs="Times New Roman"/>
                <w:bCs/>
                <w:sz w:val="24"/>
              </w:rPr>
              <w:t>4）公厕</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Cs/>
                <w:sz w:val="24"/>
              </w:rPr>
            </w:pPr>
            <w:r>
              <w:rPr>
                <w:rFonts w:ascii="Times New Roman" w:hAnsi="Times New Roman" w:cs="Times New Roman"/>
                <w:bCs/>
                <w:sz w:val="24"/>
              </w:rPr>
              <w:t>5）……</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3、库房</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4、车库及设备用房</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left w:val="single" w:color="auto" w:sz="4" w:space="0"/>
              <w:right w:val="single" w:color="auto" w:sz="4" w:space="0"/>
            </w:tcBorders>
            <w:vAlign w:val="center"/>
          </w:tcPr>
          <w:p>
            <w:pPr>
              <w:adjustRightInd w:val="0"/>
              <w:spacing w:line="400" w:lineRule="exact"/>
              <w:jc w:val="righ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ascii="Times New Roman" w:hAnsi="Times New Roman" w:cs="Times New Roman"/>
                <w:sz w:val="24"/>
              </w:rPr>
              <w:t>5、其他（注3）</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cs="Times New Roman"/>
                <w:sz w:val="24"/>
              </w:rPr>
            </w:pPr>
            <w:r>
              <w:rPr>
                <w:rFonts w:ascii="Times New Roman" w:hAnsi="Times New Roman" w:cs="Times New Roman"/>
                <w:b/>
                <w:sz w:val="24"/>
              </w:rPr>
              <w:t>总计容建筑面积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cs="Times New Roman"/>
                <w:b/>
                <w:sz w:val="24"/>
              </w:rPr>
            </w:pPr>
            <w:r>
              <w:rPr>
                <w:rFonts w:ascii="Times New Roman" w:hAnsi="Times New Roman" w:cs="Times New Roman"/>
                <w:b/>
                <w:sz w:val="24"/>
              </w:rPr>
              <w:t>容积率</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建筑密度</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配套</w:t>
            </w:r>
            <w:r>
              <w:rPr>
                <w:rFonts w:ascii="Times New Roman" w:hAnsi="Times New Roman" w:cs="Times New Roman"/>
                <w:b/>
                <w:sz w:val="24"/>
              </w:rPr>
              <w:t>用房</w:t>
            </w:r>
            <w:r>
              <w:rPr>
                <w:rFonts w:ascii="Times New Roman" w:hAnsi="Times New Roman" w:cs="Times New Roman"/>
                <w:b/>
                <w:bCs/>
                <w:sz w:val="24"/>
              </w:rPr>
              <w:t>占地比例</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绿地率</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bCs/>
                <w:sz w:val="24"/>
              </w:rPr>
            </w:pPr>
            <w:r>
              <w:rPr>
                <w:rFonts w:ascii="Times New Roman" w:hAnsi="Times New Roman" w:cs="Times New Roman"/>
                <w:b/>
                <w:bCs/>
                <w:sz w:val="24"/>
              </w:rPr>
              <w:t>停车位</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r>
              <w:rPr>
                <w:rFonts w:ascii="Times New Roman" w:hAnsi="Times New Roman" w:cs="Times New Roman"/>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hint="default" w:ascii="Times New Roman" w:hAnsi="Times New Roman" w:cs="Times New Roman"/>
                <w:sz w:val="24"/>
              </w:rPr>
              <w:t>①</w:t>
            </w:r>
            <w:r>
              <w:rPr>
                <w:rFonts w:ascii="Times New Roman" w:hAnsi="Times New Roman" w:cs="Times New Roman"/>
                <w:sz w:val="24"/>
              </w:rPr>
              <w:t>室外</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7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Times New Roman" w:hAnsi="Times New Roman" w:cs="Times New Roman"/>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sz w:val="24"/>
              </w:rPr>
            </w:pPr>
            <w:r>
              <w:rPr>
                <w:rFonts w:hint="default" w:ascii="Times New Roman" w:hAnsi="Times New Roman" w:cs="Times New Roman"/>
                <w:sz w:val="24"/>
              </w:rPr>
              <w:t>②</w:t>
            </w:r>
            <w:r>
              <w:rPr>
                <w:rFonts w:ascii="Times New Roman" w:hAnsi="Times New Roman" w:cs="Times New Roman"/>
                <w:sz w:val="24"/>
              </w:rPr>
              <w:t>室内</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rFonts w:ascii="Times New Roman" w:hAnsi="Times New Roman" w:cs="Times New Roman"/>
                <w:b/>
                <w:sz w:val="24"/>
              </w:rPr>
            </w:pPr>
            <w:r>
              <w:rPr>
                <w:rFonts w:ascii="Times New Roman" w:hAnsi="Times New Roman" w:cs="Times New Roman"/>
                <w:b/>
                <w:sz w:val="24"/>
              </w:rPr>
              <w:t>建筑高度</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8430" w:type="dxa"/>
            <w:gridSpan w:val="6"/>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left"/>
              <w:rPr>
                <w:rFonts w:ascii="Times New Roman" w:hAnsi="Times New Roman" w:cs="Times New Roman"/>
                <w:sz w:val="24"/>
              </w:rPr>
            </w:pPr>
            <w:r>
              <w:rPr>
                <w:rFonts w:ascii="Times New Roman" w:hAnsi="Times New Roman" w:cs="Times New Roman"/>
                <w:sz w:val="24"/>
              </w:rPr>
              <w:t>注：1、厂房、生产车间等列入工业建筑面积类别。</w:t>
            </w:r>
          </w:p>
          <w:p>
            <w:pPr>
              <w:adjustRightInd w:val="0"/>
              <w:spacing w:line="400" w:lineRule="exact"/>
              <w:ind w:firstLine="480"/>
              <w:jc w:val="left"/>
              <w:rPr>
                <w:rFonts w:ascii="Times New Roman" w:hAnsi="Times New Roman" w:cs="Times New Roman"/>
                <w:sz w:val="24"/>
              </w:rPr>
            </w:pPr>
            <w:r>
              <w:rPr>
                <w:rFonts w:ascii="Times New Roman" w:hAnsi="Times New Roman" w:cs="Times New Roman"/>
                <w:sz w:val="24"/>
              </w:rPr>
              <w:t>2、工业项目的办公（研发车间）、倒班楼（宿舍）、食堂、公厕等列入配套设施，表中各项可根据本项目规划实际要求配施自行增减。</w:t>
            </w:r>
          </w:p>
          <w:p>
            <w:pPr>
              <w:adjustRightInd w:val="0"/>
              <w:spacing w:line="400" w:lineRule="exact"/>
              <w:ind w:firstLine="480"/>
              <w:jc w:val="left"/>
              <w:rPr>
                <w:rFonts w:ascii="Times New Roman" w:hAnsi="Times New Roman" w:cs="Times New Roman"/>
                <w:sz w:val="24"/>
              </w:rPr>
            </w:pPr>
            <w:r>
              <w:rPr>
                <w:rFonts w:ascii="Times New Roman" w:hAnsi="Times New Roman" w:cs="Times New Roman"/>
                <w:sz w:val="24"/>
              </w:rPr>
              <w:t>3、不属于工业、配套设施、</w:t>
            </w:r>
            <w:r>
              <w:rPr>
                <w:rFonts w:hint="default" w:ascii="Times New Roman" w:hAnsi="Times New Roman" w:cs="Times New Roman"/>
                <w:sz w:val="24"/>
                <w:lang w:eastAsia="zh-CN"/>
              </w:rPr>
              <w:t>库房、</w:t>
            </w:r>
            <w:r>
              <w:rPr>
                <w:rFonts w:ascii="Times New Roman" w:hAnsi="Times New Roman" w:cs="Times New Roman"/>
                <w:sz w:val="24"/>
              </w:rPr>
              <w:t>车库</w:t>
            </w:r>
            <w:r>
              <w:rPr>
                <w:rFonts w:hint="default" w:ascii="Times New Roman" w:hAnsi="Times New Roman" w:cs="Times New Roman"/>
                <w:sz w:val="24"/>
                <w:lang w:eastAsia="zh-CN"/>
              </w:rPr>
              <w:t>及</w:t>
            </w:r>
            <w:r>
              <w:rPr>
                <w:rFonts w:ascii="Times New Roman" w:hAnsi="Times New Roman" w:cs="Times New Roman"/>
                <w:sz w:val="24"/>
              </w:rPr>
              <w:t>设备用房等功能的，如架空层、转换层等其他功能列入“其他”功能类栏。</w:t>
            </w:r>
          </w:p>
        </w:tc>
      </w:tr>
    </w:tbl>
    <w:p>
      <w:pPr>
        <w:spacing w:line="600" w:lineRule="exact"/>
        <w:rPr>
          <w:rFonts w:eastAsia="方正黑体_GBK"/>
          <w:sz w:val="32"/>
          <w:szCs w:val="32"/>
        </w:rPr>
      </w:pPr>
    </w:p>
    <w:p>
      <w:pPr>
        <w:spacing w:line="600" w:lineRule="exact"/>
        <w:rPr>
          <w:rFonts w:hint="eastAsia" w:eastAsia="方正黑体_GBK"/>
          <w:sz w:val="32"/>
          <w:szCs w:val="32"/>
        </w:rPr>
      </w:pPr>
      <w:r>
        <w:rPr>
          <w:rFonts w:eastAsia="方正黑体_GBK"/>
          <w:sz w:val="32"/>
          <w:szCs w:val="32"/>
        </w:rPr>
        <w:t>表</w:t>
      </w:r>
      <w:r>
        <w:rPr>
          <w:rFonts w:hint="eastAsia" w:eastAsia="方正黑体_GBK"/>
          <w:sz w:val="32"/>
          <w:szCs w:val="32"/>
        </w:rPr>
        <w:t>一</w:t>
      </w:r>
    </w:p>
    <w:p>
      <w:pPr>
        <w:spacing w:line="600" w:lineRule="exact"/>
        <w:ind w:firstLine="640"/>
        <w:jc w:val="center"/>
        <w:rPr>
          <w:rFonts w:eastAsia="方正小标宋_GBK"/>
          <w:sz w:val="36"/>
          <w:szCs w:val="36"/>
        </w:rPr>
      </w:pPr>
      <w:r>
        <w:rPr>
          <w:rFonts w:eastAsia="方正小标宋_GBK"/>
          <w:sz w:val="36"/>
          <w:szCs w:val="36"/>
        </w:rPr>
        <w:t>技术经济指标一览表（</w:t>
      </w:r>
      <w:r>
        <w:rPr>
          <w:rFonts w:eastAsia="方正小标宋_GBK"/>
          <w:color w:val="000000"/>
          <w:sz w:val="36"/>
          <w:szCs w:val="36"/>
        </w:rPr>
        <w:t>仓储项目</w:t>
      </w:r>
      <w:r>
        <w:rPr>
          <w:rFonts w:eastAsia="方正小标宋_GBK"/>
          <w:sz w:val="36"/>
          <w:szCs w:val="36"/>
        </w:rPr>
        <w:t>）</w:t>
      </w:r>
    </w:p>
    <w:tbl>
      <w:tblPr>
        <w:tblStyle w:val="6"/>
        <w:tblW w:w="8430"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0" w:type="dxa"/>
        </w:tblCellMar>
      </w:tblPr>
      <w:tblGrid>
        <w:gridCol w:w="374"/>
        <w:gridCol w:w="364"/>
        <w:gridCol w:w="2380"/>
        <w:gridCol w:w="2030"/>
        <w:gridCol w:w="2161"/>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jc w:val="center"/>
              <w:rPr>
                <w:b/>
                <w:sz w:val="24"/>
              </w:rPr>
            </w:pPr>
            <w:r>
              <w:rPr>
                <w:b/>
                <w:sz w:val="24"/>
              </w:rPr>
              <w:t>项    目</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b/>
                <w:sz w:val="24"/>
              </w:rPr>
            </w:pPr>
            <w:r>
              <w:rPr>
                <w:b/>
                <w:sz w:val="24"/>
              </w:rPr>
              <w:t>规划条件</w:t>
            </w: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b/>
                <w:sz w:val="24"/>
              </w:rPr>
            </w:pPr>
            <w:r>
              <w:rPr>
                <w:b/>
                <w:sz w:val="24"/>
              </w:rPr>
              <w:t>设计数值</w:t>
            </w: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b/>
                <w:sz w:val="24"/>
              </w:rPr>
            </w:pPr>
            <w:r>
              <w:rPr>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建设用地面积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总建筑面积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vertAlign w:val="superscript"/>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bCs/>
                <w:sz w:val="24"/>
              </w:rPr>
            </w:pPr>
            <w:r>
              <w:rPr>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地上建筑面积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sz w:val="24"/>
              </w:rPr>
              <w:t>地下建筑面积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restart"/>
            <w:tcBorders>
              <w:top w:val="single" w:color="auto" w:sz="4" w:space="0"/>
              <w:left w:val="single" w:color="auto" w:sz="4" w:space="0"/>
              <w:right w:val="single" w:color="auto" w:sz="4" w:space="0"/>
            </w:tcBorders>
            <w:vAlign w:val="center"/>
          </w:tcPr>
          <w:p>
            <w:pPr>
              <w:adjustRightInd w:val="0"/>
              <w:jc w:val="center"/>
              <w:rPr>
                <w:sz w:val="24"/>
              </w:rPr>
            </w:pPr>
            <w:r>
              <w:rPr>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sz w:val="24"/>
              </w:rPr>
              <w:t>1、</w:t>
            </w:r>
            <w:r>
              <w:rPr>
                <w:rFonts w:hint="eastAsia"/>
                <w:sz w:val="24"/>
              </w:rPr>
              <w:t>仓储</w:t>
            </w:r>
            <w:r>
              <w:rPr>
                <w:sz w:val="24"/>
              </w:rPr>
              <w:t>建筑（注1）</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sz w:val="24"/>
              </w:rPr>
              <w:t>2、配套设施（注2）</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r>
              <w:rPr>
                <w:bCs/>
                <w:sz w:val="24"/>
              </w:rPr>
              <w:t>其中</w:t>
            </w: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sz w:val="24"/>
              </w:rPr>
            </w:pPr>
            <w:r>
              <w:rPr>
                <w:bCs/>
                <w:sz w:val="24"/>
              </w:rPr>
              <w:t>1）办公</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rFonts w:hint="eastAsia" w:eastAsia="宋体"/>
                <w:sz w:val="24"/>
                <w:lang w:eastAsia="zh-CN"/>
              </w:rPr>
            </w:pPr>
            <w:r>
              <w:rPr>
                <w:bCs/>
                <w:sz w:val="24"/>
              </w:rPr>
              <w:t>2）倒班楼</w:t>
            </w:r>
            <w:r>
              <w:rPr>
                <w:rFonts w:hint="eastAsia"/>
                <w:bCs/>
                <w:sz w:val="24"/>
                <w:lang w:eastAsia="zh-CN"/>
              </w:rPr>
              <w:t>（宿舍）</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sz w:val="24"/>
              </w:rPr>
            </w:pPr>
            <w:r>
              <w:rPr>
                <w:bCs/>
                <w:sz w:val="24"/>
              </w:rPr>
              <w:t>3）食堂</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bCs/>
                <w:sz w:val="24"/>
              </w:rPr>
            </w:pPr>
            <w:r>
              <w:rPr>
                <w:bCs/>
                <w:sz w:val="24"/>
              </w:rPr>
              <w:t>4）公厕</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3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380" w:type="dxa"/>
            <w:tcBorders>
              <w:top w:val="single" w:color="auto" w:sz="4" w:space="0"/>
              <w:left w:val="single" w:color="auto" w:sz="4" w:space="0"/>
              <w:bottom w:val="single" w:color="auto" w:sz="4" w:space="0"/>
              <w:right w:val="single" w:color="auto" w:sz="4" w:space="0"/>
            </w:tcBorders>
            <w:vAlign w:val="center"/>
          </w:tcPr>
          <w:p>
            <w:pPr>
              <w:adjustRightInd w:val="0"/>
              <w:rPr>
                <w:bCs/>
                <w:sz w:val="24"/>
              </w:rPr>
            </w:pPr>
            <w:r>
              <w:rPr>
                <w:bCs/>
                <w:sz w:val="24"/>
              </w:rPr>
              <w:t>5）……</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widowControl/>
              <w:jc w:val="left"/>
              <w:rPr>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rFonts w:hint="eastAsia"/>
                <w:sz w:val="24"/>
              </w:rPr>
              <w:t>3</w:t>
            </w:r>
            <w:r>
              <w:rPr>
                <w:sz w:val="24"/>
              </w:rPr>
              <w:t>、车库及设备用房</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left w:val="single" w:color="auto" w:sz="4" w:space="0"/>
              <w:right w:val="single" w:color="auto" w:sz="4" w:space="0"/>
            </w:tcBorders>
            <w:vAlign w:val="center"/>
          </w:tcPr>
          <w:p>
            <w:pPr>
              <w:adjustRightInd w:val="0"/>
              <w:jc w:val="right"/>
              <w:rPr>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rFonts w:hint="eastAsia"/>
                <w:sz w:val="24"/>
              </w:rPr>
              <w:t>4</w:t>
            </w:r>
            <w:r>
              <w:rPr>
                <w:sz w:val="24"/>
              </w:rPr>
              <w:t>、其他（注3）</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rPr>
                <w:sz w:val="24"/>
              </w:rPr>
            </w:pPr>
            <w:r>
              <w:rPr>
                <w:b/>
                <w:sz w:val="24"/>
              </w:rPr>
              <w:t>总计容建筑面积</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rPr>
                <w:b/>
                <w:sz w:val="24"/>
              </w:rPr>
            </w:pPr>
            <w:r>
              <w:rPr>
                <w:b/>
                <w:sz w:val="24"/>
              </w:rPr>
              <w:t>容积率</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建筑密度</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配套</w:t>
            </w:r>
            <w:r>
              <w:rPr>
                <w:b/>
                <w:sz w:val="24"/>
              </w:rPr>
              <w:t>用房</w:t>
            </w:r>
            <w:r>
              <w:rPr>
                <w:b/>
                <w:bCs/>
                <w:sz w:val="24"/>
              </w:rPr>
              <w:t>占地比例</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绿地率</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bCs/>
                <w:sz w:val="24"/>
              </w:rPr>
            </w:pPr>
            <w:r>
              <w:rPr>
                <w:b/>
                <w:bCs/>
                <w:sz w:val="24"/>
              </w:rPr>
              <w:t>停车位</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restart"/>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r>
              <w:rPr>
                <w:bCs/>
                <w:sz w:val="24"/>
              </w:rPr>
              <w:t>其中</w:t>
            </w: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rFonts w:hint="eastAsia" w:ascii="宋体" w:hAnsi="宋体"/>
                <w:sz w:val="24"/>
              </w:rPr>
              <w:t>①</w:t>
            </w:r>
            <w:r>
              <w:rPr>
                <w:sz w:val="24"/>
              </w:rPr>
              <w:t>室外</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2744" w:type="dxa"/>
            <w:gridSpan w:val="2"/>
            <w:tcBorders>
              <w:top w:val="single" w:color="auto" w:sz="4" w:space="0"/>
              <w:left w:val="single" w:color="auto" w:sz="4" w:space="0"/>
              <w:bottom w:val="single" w:color="auto" w:sz="4" w:space="0"/>
              <w:right w:val="single" w:color="auto" w:sz="4" w:space="0"/>
            </w:tcBorders>
            <w:vAlign w:val="center"/>
          </w:tcPr>
          <w:p>
            <w:pPr>
              <w:adjustRightInd w:val="0"/>
              <w:rPr>
                <w:sz w:val="24"/>
              </w:rPr>
            </w:pPr>
            <w:r>
              <w:rPr>
                <w:rFonts w:hint="eastAsia" w:ascii="宋体" w:hAnsi="宋体"/>
                <w:sz w:val="24"/>
              </w:rPr>
              <w:t>②</w:t>
            </w:r>
            <w:r>
              <w:rPr>
                <w:sz w:val="24"/>
              </w:rPr>
              <w:t>室内</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8" w:type="dxa"/>
            <w:gridSpan w:val="3"/>
            <w:tcBorders>
              <w:top w:val="single" w:color="auto" w:sz="4" w:space="0"/>
              <w:left w:val="single" w:color="auto" w:sz="4" w:space="0"/>
              <w:bottom w:val="single" w:color="auto" w:sz="4" w:space="0"/>
              <w:right w:val="single" w:color="auto" w:sz="4" w:space="0"/>
            </w:tcBorders>
            <w:vAlign w:val="center"/>
          </w:tcPr>
          <w:p>
            <w:pPr>
              <w:adjustRightInd w:val="0"/>
              <w:rPr>
                <w:b/>
                <w:sz w:val="24"/>
              </w:rPr>
            </w:pPr>
            <w:r>
              <w:rPr>
                <w:b/>
                <w:sz w:val="24"/>
              </w:rPr>
              <w:t>建筑高度</w:t>
            </w:r>
          </w:p>
        </w:tc>
        <w:tc>
          <w:tcPr>
            <w:tcW w:w="2030"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216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c>
          <w:tcPr>
            <w:tcW w:w="1121" w:type="dxa"/>
            <w:tcBorders>
              <w:top w:val="single" w:color="auto" w:sz="4" w:space="0"/>
              <w:left w:val="single" w:color="auto" w:sz="4" w:space="0"/>
              <w:bottom w:val="single" w:color="auto" w:sz="4" w:space="0"/>
              <w:right w:val="single" w:color="auto" w:sz="4" w:space="0"/>
            </w:tcBorders>
            <w:vAlign w:val="center"/>
          </w:tcPr>
          <w:p>
            <w:pPr>
              <w:adjustRightIn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30" w:type="dxa"/>
            <w:gridSpan w:val="6"/>
            <w:tcBorders>
              <w:top w:val="single" w:color="auto" w:sz="4" w:space="0"/>
              <w:left w:val="single" w:color="auto" w:sz="4" w:space="0"/>
              <w:bottom w:val="single" w:color="auto" w:sz="4" w:space="0"/>
              <w:right w:val="single" w:color="auto" w:sz="4" w:space="0"/>
            </w:tcBorders>
            <w:vAlign w:val="center"/>
          </w:tcPr>
          <w:p>
            <w:pPr>
              <w:adjustRightInd w:val="0"/>
              <w:spacing w:line="400" w:lineRule="exact"/>
              <w:rPr>
                <w:sz w:val="24"/>
              </w:rPr>
            </w:pPr>
            <w:r>
              <w:rPr>
                <w:sz w:val="24"/>
              </w:rPr>
              <w:t>注：1、</w:t>
            </w:r>
            <w:r>
              <w:rPr>
                <w:rFonts w:hint="eastAsia"/>
                <w:sz w:val="24"/>
              </w:rPr>
              <w:t>仓储及配套的辅助生产用房等</w:t>
            </w:r>
            <w:r>
              <w:rPr>
                <w:sz w:val="24"/>
              </w:rPr>
              <w:t>列入</w:t>
            </w:r>
            <w:r>
              <w:rPr>
                <w:rFonts w:hint="eastAsia"/>
                <w:sz w:val="24"/>
              </w:rPr>
              <w:t>仓储</w:t>
            </w:r>
            <w:r>
              <w:rPr>
                <w:sz w:val="24"/>
              </w:rPr>
              <w:t>建筑面积类别。</w:t>
            </w:r>
          </w:p>
          <w:p>
            <w:pPr>
              <w:adjustRightInd w:val="0"/>
              <w:spacing w:line="400" w:lineRule="exact"/>
              <w:ind w:firstLine="480"/>
              <w:rPr>
                <w:sz w:val="24"/>
              </w:rPr>
            </w:pPr>
            <w:r>
              <w:rPr>
                <w:sz w:val="24"/>
              </w:rPr>
              <w:t>2、</w:t>
            </w:r>
            <w:r>
              <w:rPr>
                <w:rFonts w:hint="eastAsia"/>
                <w:sz w:val="24"/>
              </w:rPr>
              <w:t>仓储</w:t>
            </w:r>
            <w:r>
              <w:rPr>
                <w:sz w:val="24"/>
              </w:rPr>
              <w:t>项目的办公、倒班楼（宿舍）、食堂、公厕等列入配套设施，表中各项可根据本项目规划实际要求配施自行增减。</w:t>
            </w:r>
          </w:p>
          <w:p>
            <w:pPr>
              <w:adjustRightInd w:val="0"/>
              <w:spacing w:line="400" w:lineRule="exact"/>
              <w:ind w:firstLine="480"/>
              <w:rPr>
                <w:sz w:val="24"/>
              </w:rPr>
            </w:pPr>
            <w:r>
              <w:rPr>
                <w:sz w:val="24"/>
              </w:rPr>
              <w:t>3、不属于</w:t>
            </w:r>
            <w:r>
              <w:rPr>
                <w:rFonts w:hint="eastAsia"/>
                <w:sz w:val="24"/>
              </w:rPr>
              <w:t>仓储</w:t>
            </w:r>
            <w:r>
              <w:rPr>
                <w:sz w:val="24"/>
              </w:rPr>
              <w:t>、配套设施、车库</w:t>
            </w:r>
            <w:r>
              <w:rPr>
                <w:rFonts w:hint="eastAsia"/>
                <w:sz w:val="24"/>
                <w:lang w:eastAsia="zh-CN"/>
              </w:rPr>
              <w:t>及</w:t>
            </w:r>
            <w:r>
              <w:rPr>
                <w:sz w:val="24"/>
              </w:rPr>
              <w:t>设备用房等功能的，如架空层、转换层等其他功能列入“其他”功能类栏。</w:t>
            </w:r>
          </w:p>
        </w:tc>
      </w:tr>
    </w:tbl>
    <w:p>
      <w:pPr>
        <w:widowControl/>
        <w:jc w:val="left"/>
        <w:rPr>
          <w:sz w:val="24"/>
        </w:rPr>
        <w:sectPr>
          <w:type w:val="continuous"/>
          <w:pgSz w:w="11906" w:h="16838"/>
          <w:pgMar w:top="1440" w:right="1800" w:bottom="1440" w:left="1800" w:header="720" w:footer="1134" w:gutter="0"/>
          <w:cols w:space="720" w:num="1"/>
          <w:docGrid w:type="lines" w:linePitch="435" w:charSpace="0"/>
        </w:sectPr>
      </w:pPr>
    </w:p>
    <w:p>
      <w:pPr>
        <w:snapToGrid w:val="0"/>
        <w:rPr>
          <w:rFonts w:eastAsia="方正黑体_GBK"/>
          <w:bCs/>
          <w:sz w:val="32"/>
          <w:szCs w:val="32"/>
        </w:rPr>
      </w:pPr>
      <w:r>
        <w:rPr>
          <w:rFonts w:eastAsia="方正黑体_GBK"/>
          <w:bCs/>
          <w:sz w:val="32"/>
          <w:szCs w:val="32"/>
        </w:rPr>
        <w:t>表二</w:t>
      </w:r>
    </w:p>
    <w:p>
      <w:pPr>
        <w:pStyle w:val="3"/>
        <w:rPr>
          <w:highlight w:val="none"/>
        </w:rPr>
      </w:pPr>
      <w:r>
        <w:rPr>
          <w:rFonts w:eastAsia="方正小标宋_GBK"/>
          <w:b w:val="0"/>
          <w:bCs/>
          <w:sz w:val="36"/>
          <w:szCs w:val="36"/>
          <w:highlight w:val="none"/>
        </w:rPr>
        <w:t>建筑面积及计容建筑面积明细表</w:t>
      </w:r>
    </w:p>
    <w:p>
      <w:pPr>
        <w:pStyle w:val="2"/>
        <w:spacing w:after="0"/>
        <w:ind w:firstLine="440"/>
        <w:jc w:val="right"/>
        <w:rPr>
          <w:sz w:val="22"/>
        </w:rPr>
      </w:pPr>
      <w:r>
        <w:rPr>
          <w:sz w:val="22"/>
        </w:rPr>
        <w:t>面积单位：平方米  长度单位：米</w:t>
      </w:r>
    </w:p>
    <w:tbl>
      <w:tblPr>
        <w:tblStyle w:val="6"/>
        <w:tblW w:w="4950" w:type="pct"/>
        <w:tblInd w:w="-51" w:type="dxa"/>
        <w:tblLayout w:type="fixed"/>
        <w:tblCellMar>
          <w:top w:w="0" w:type="dxa"/>
          <w:left w:w="57" w:type="dxa"/>
          <w:bottom w:w="0" w:type="dxa"/>
          <w:right w:w="57" w:type="dxa"/>
        </w:tblCellMar>
      </w:tblPr>
      <w:tblGrid>
        <w:gridCol w:w="696"/>
        <w:gridCol w:w="701"/>
        <w:gridCol w:w="628"/>
        <w:gridCol w:w="516"/>
        <w:gridCol w:w="517"/>
        <w:gridCol w:w="532"/>
        <w:gridCol w:w="679"/>
        <w:gridCol w:w="612"/>
        <w:gridCol w:w="612"/>
        <w:gridCol w:w="624"/>
        <w:gridCol w:w="612"/>
        <w:gridCol w:w="624"/>
        <w:gridCol w:w="612"/>
        <w:gridCol w:w="624"/>
        <w:gridCol w:w="612"/>
        <w:gridCol w:w="624"/>
        <w:gridCol w:w="612"/>
        <w:gridCol w:w="624"/>
        <w:gridCol w:w="684"/>
        <w:gridCol w:w="716"/>
        <w:gridCol w:w="843"/>
        <w:gridCol w:w="627"/>
      </w:tblGrid>
      <w:tr>
        <w:tblPrEx>
          <w:tblCellMar>
            <w:top w:w="0" w:type="dxa"/>
            <w:left w:w="57" w:type="dxa"/>
            <w:bottom w:w="0" w:type="dxa"/>
            <w:right w:w="57" w:type="dxa"/>
          </w:tblCellMar>
        </w:tblPrEx>
        <w:trPr>
          <w:trHeight w:val="315" w:hRule="atLeast"/>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栋号</w:t>
            </w:r>
          </w:p>
        </w:tc>
        <w:tc>
          <w:tcPr>
            <w:tcW w:w="7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部位</w:t>
            </w:r>
          </w:p>
        </w:tc>
        <w:tc>
          <w:tcPr>
            <w:tcW w:w="64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楼层</w:t>
            </w:r>
          </w:p>
        </w:tc>
        <w:tc>
          <w:tcPr>
            <w:tcW w:w="525"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层高</w:t>
            </w:r>
          </w:p>
        </w:tc>
        <w:tc>
          <w:tcPr>
            <w:tcW w:w="525"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数</w:t>
            </w:r>
          </w:p>
        </w:tc>
        <w:tc>
          <w:tcPr>
            <w:tcW w:w="540"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每层户数</w:t>
            </w:r>
          </w:p>
        </w:tc>
        <w:tc>
          <w:tcPr>
            <w:tcW w:w="691"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楼层建筑面积</w:t>
            </w:r>
          </w:p>
        </w:tc>
        <w:tc>
          <w:tcPr>
            <w:tcW w:w="622"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楼层计容建筑面积</w:t>
            </w:r>
          </w:p>
        </w:tc>
        <w:tc>
          <w:tcPr>
            <w:tcW w:w="7704" w:type="dxa"/>
            <w:gridSpan w:val="12"/>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分类</w:t>
            </w:r>
          </w:p>
        </w:tc>
        <w:tc>
          <w:tcPr>
            <w:tcW w:w="858"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停车位（个）</w:t>
            </w:r>
          </w:p>
        </w:tc>
        <w:tc>
          <w:tcPr>
            <w:tcW w:w="637"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备注</w:t>
            </w:r>
          </w:p>
        </w:tc>
      </w:tr>
      <w:tr>
        <w:tblPrEx>
          <w:tblCellMar>
            <w:top w:w="0" w:type="dxa"/>
            <w:left w:w="57" w:type="dxa"/>
            <w:bottom w:w="0" w:type="dxa"/>
            <w:right w:w="57" w:type="dxa"/>
          </w:tblCellMar>
        </w:tblPrEx>
        <w:trPr>
          <w:trHeight w:val="155"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住 宅</w:t>
            </w: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公 建</w:t>
            </w: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配套设施</w:t>
            </w: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工 业</w:t>
            </w:r>
          </w:p>
        </w:tc>
        <w:tc>
          <w:tcPr>
            <w:tcW w:w="1256"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车库及设备</w:t>
            </w:r>
          </w:p>
        </w:tc>
        <w:tc>
          <w:tcPr>
            <w:tcW w:w="142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center"/>
              <w:textAlignment w:val="auto"/>
              <w:rPr>
                <w:rFonts w:ascii="Times New Roman" w:hAnsi="Times New Roman" w:cs="Times New Roman"/>
                <w:b/>
                <w:bCs/>
                <w:color w:val="000000"/>
                <w:sz w:val="20"/>
                <w:szCs w:val="20"/>
              </w:rPr>
            </w:pPr>
            <w:r>
              <w:rPr>
                <w:rFonts w:ascii="Times New Roman" w:hAnsi="Times New Roman" w:cs="Times New Roman"/>
                <w:b/>
                <w:bCs/>
                <w:color w:val="000000"/>
                <w:sz w:val="20"/>
                <w:szCs w:val="20"/>
              </w:rPr>
              <w:t>其 他</w:t>
            </w:r>
          </w:p>
        </w:tc>
        <w:tc>
          <w:tcPr>
            <w:tcW w:w="85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63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r>
      <w:tr>
        <w:tblPrEx>
          <w:tblCellMar>
            <w:top w:w="0" w:type="dxa"/>
            <w:left w:w="57" w:type="dxa"/>
            <w:bottom w:w="0" w:type="dxa"/>
            <w:right w:w="57" w:type="dxa"/>
          </w:tblCellMar>
        </w:tblPrEx>
        <w:trPr>
          <w:trHeight w:val="484"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建筑面积</w:t>
            </w: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计容面积</w:t>
            </w:r>
          </w:p>
        </w:tc>
        <w:tc>
          <w:tcPr>
            <w:tcW w:w="858"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c>
          <w:tcPr>
            <w:tcW w:w="637"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b/>
                <w:bCs/>
                <w:color w:val="000000"/>
                <w:sz w:val="20"/>
                <w:szCs w:val="20"/>
              </w:rPr>
            </w:pPr>
          </w:p>
        </w:tc>
      </w:tr>
      <w:tr>
        <w:tblPrEx>
          <w:tblCellMar>
            <w:top w:w="0" w:type="dxa"/>
            <w:left w:w="57" w:type="dxa"/>
            <w:bottom w:w="0" w:type="dxa"/>
            <w:right w:w="57" w:type="dxa"/>
          </w:tblCellMar>
        </w:tblPrEx>
        <w:trPr>
          <w:trHeight w:val="183" w:hRule="atLeast"/>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7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塔楼</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9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2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3-10</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85"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7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裙楼</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9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53"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714"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车库</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13"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3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1354"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小计</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154</w:t>
            </w: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98" w:hRule="atLeast"/>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塔楼</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28"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裙楼</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43"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车库</w:t>
            </w:r>
          </w:p>
        </w:tc>
        <w:tc>
          <w:tcPr>
            <w:tcW w:w="6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183" w:hRule="atLeast"/>
        </w:trPr>
        <w:tc>
          <w:tcPr>
            <w:tcW w:w="300"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exact"/>
              <w:jc w:val="left"/>
              <w:rPr>
                <w:rFonts w:ascii="Times New Roman" w:hAnsi="Times New Roman" w:cs="Times New Roman"/>
                <w:color w:val="000000"/>
                <w:sz w:val="20"/>
                <w:szCs w:val="20"/>
              </w:rPr>
            </w:pPr>
          </w:p>
        </w:tc>
        <w:tc>
          <w:tcPr>
            <w:tcW w:w="1354"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小计</w:t>
            </w: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28"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总计</w:t>
            </w:r>
          </w:p>
        </w:tc>
        <w:tc>
          <w:tcPr>
            <w:tcW w:w="714" w:type="dxa"/>
            <w:tcBorders>
              <w:top w:val="single" w:color="000000" w:sz="4" w:space="0"/>
              <w:left w:val="single" w:color="000000" w:sz="4" w:space="0"/>
              <w:bottom w:val="single" w:color="000000" w:sz="4" w:space="0"/>
              <w:right w:val="single" w:color="000000" w:sz="4" w:space="0"/>
              <w:tr2bl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40" w:type="dxa"/>
            <w:tcBorders>
              <w:top w:val="single" w:color="000000" w:sz="4" w:space="0"/>
              <w:left w:val="single" w:color="000000" w:sz="4" w:space="0"/>
              <w:bottom w:val="single" w:color="000000" w:sz="4" w:space="0"/>
              <w:right w:val="single" w:color="000000" w:sz="4" w:space="0"/>
              <w:tr2bl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r2bl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25" w:type="dxa"/>
            <w:tcBorders>
              <w:top w:val="single" w:color="000000" w:sz="4" w:space="0"/>
              <w:left w:val="single" w:color="000000" w:sz="4" w:space="0"/>
              <w:bottom w:val="single" w:color="000000" w:sz="4" w:space="0"/>
              <w:right w:val="single" w:color="000000" w:sz="4" w:space="0"/>
              <w:tr2bl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1"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2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72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center"/>
              <w:rPr>
                <w:rFonts w:ascii="Times New Roman" w:hAnsi="Times New Roman" w:cs="Times New Roman"/>
                <w:color w:val="000000"/>
                <w:sz w:val="20"/>
                <w:szCs w:val="20"/>
              </w:rPr>
            </w:pPr>
          </w:p>
        </w:tc>
      </w:tr>
      <w:tr>
        <w:tblPrEx>
          <w:tblCellMar>
            <w:top w:w="0" w:type="dxa"/>
            <w:left w:w="57" w:type="dxa"/>
            <w:bottom w:w="0" w:type="dxa"/>
            <w:right w:w="57" w:type="dxa"/>
          </w:tblCellMar>
        </w:tblPrEx>
        <w:trPr>
          <w:trHeight w:val="283" w:hRule="atLeast"/>
        </w:trPr>
        <w:tc>
          <w:tcPr>
            <w:tcW w:w="14165" w:type="dxa"/>
            <w:gridSpan w:val="22"/>
            <w:tcBorders>
              <w:top w:val="single" w:color="000000" w:sz="4" w:space="0"/>
              <w:left w:val="single" w:color="000000" w:sz="4" w:space="0"/>
              <w:bottom w:val="single" w:color="000000" w:sz="4" w:space="0"/>
              <w:right w:val="single" w:color="000000" w:sz="4" w:space="0"/>
            </w:tcBorders>
            <w:vAlign w:val="center"/>
          </w:tcPr>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注：1、表格根据指标核算情况，分栋、分楼层、分功能填写，一般每层填写一行。同一栋号中功能、面积、层高相同的楼层可合并填写，并在“楼层”栏注明所包含层数。</w:t>
            </w:r>
          </w:p>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2、“楼层”栏的填写均以规划许可证附图上标注的层数为准，架空层、转换层也应注明所在楼层。</w:t>
            </w:r>
          </w:p>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3、对几栋楼共有的地下建筑或裙楼，需在“栋号”栏注明。如“栋号”栏填写“1、2、3”，“楼层”栏填写“2”即表示该1、2、3号楼共有的第2层裙楼的规划许可内容。对于可单独分区的地下建筑或裙楼按第一条说明填写。</w:t>
            </w:r>
          </w:p>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4、“楼层面积”是指每一层的建筑面积或计容建筑面积、同类楼层的建筑面积之和或计容建筑面积之和，建筑面积或计容建筑面积计算规则按照《重庆市城市规划管理技术规定》、《建筑工程建筑面积计算规范》（GB/T 50353—2013）、《重庆市工程建设项目建筑面积测算规则》执行。</w:t>
            </w:r>
          </w:p>
          <w:p>
            <w:pPr>
              <w:widowControl/>
              <w:snapToGrid w:val="0"/>
              <w:spacing w:line="240" w:lineRule="exact"/>
              <w:jc w:val="left"/>
              <w:rPr>
                <w:rFonts w:ascii="Times New Roman" w:hAnsi="Times New Roman" w:cs="Times New Roman"/>
                <w:color w:val="000000"/>
                <w:sz w:val="20"/>
                <w:szCs w:val="20"/>
              </w:rPr>
            </w:pPr>
            <w:r>
              <w:rPr>
                <w:rFonts w:ascii="Times New Roman" w:hAnsi="Times New Roman" w:cs="Times New Roman"/>
                <w:color w:val="000000"/>
                <w:sz w:val="20"/>
                <w:szCs w:val="20"/>
              </w:rPr>
              <w:t>5、表格中的建筑物性质类别划分按照以下原则进行：公共建筑（不含配套设施）是指商业、酒店、办公、科研及其他可供人们进行各种公共活动的建筑；配套设施是指按《建设用地规划许可证》要求配置的公共设施和按国家相关规定设置的配套用房。架空层、转换层等其他建筑功能列入“其他”栏。</w:t>
            </w:r>
          </w:p>
        </w:tc>
      </w:tr>
    </w:tbl>
    <w:p>
      <w:pPr>
        <w:widowControl/>
        <w:jc w:val="left"/>
        <w:rPr>
          <w:rFonts w:eastAsia="方正黑体_GBK"/>
          <w:bCs/>
          <w:szCs w:val="32"/>
        </w:rPr>
        <w:sectPr>
          <w:pgSz w:w="16838" w:h="11906" w:orient="landscape"/>
          <w:pgMar w:top="1800" w:right="1440" w:bottom="1800" w:left="1440" w:header="720" w:footer="1134" w:gutter="0"/>
          <w:cols w:space="720" w:num="1"/>
          <w:docGrid w:type="lines" w:linePitch="435" w:charSpace="0"/>
        </w:sectPr>
      </w:pPr>
    </w:p>
    <w:p>
      <w:pPr>
        <w:pStyle w:val="2"/>
        <w:adjustRightInd w:val="0"/>
        <w:snapToGrid w:val="0"/>
        <w:ind w:firstLine="0"/>
        <w:rPr>
          <w:rFonts w:eastAsia="方正黑体_GBK"/>
          <w:bCs/>
          <w:sz w:val="32"/>
          <w:szCs w:val="32"/>
        </w:rPr>
      </w:pPr>
      <w:r>
        <w:rPr>
          <w:rFonts w:eastAsia="方正黑体_GBK"/>
          <w:bCs/>
          <w:sz w:val="32"/>
          <w:szCs w:val="32"/>
        </w:rPr>
        <w:t>表三</w:t>
      </w:r>
    </w:p>
    <w:p>
      <w:pPr>
        <w:ind w:firstLine="641"/>
        <w:jc w:val="center"/>
        <w:rPr>
          <w:rFonts w:eastAsia="方正小标宋_GBK"/>
          <w:sz w:val="36"/>
          <w:szCs w:val="36"/>
        </w:rPr>
      </w:pPr>
      <w:r>
        <w:rPr>
          <w:rFonts w:eastAsia="方正小标宋_GBK"/>
          <w:sz w:val="36"/>
          <w:szCs w:val="36"/>
        </w:rPr>
        <w:t>配建停车位统计表</w:t>
      </w:r>
    </w:p>
    <w:tbl>
      <w:tblPr>
        <w:tblStyle w:val="6"/>
        <w:tblpPr w:leftFromText="180" w:rightFromText="180" w:vertAnchor="text" w:horzAnchor="page" w:tblpXSpec="center" w:tblpY="768"/>
        <w:tblOverlap w:val="never"/>
        <w:tblW w:w="8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5"/>
        <w:gridCol w:w="314"/>
        <w:gridCol w:w="2084"/>
        <w:gridCol w:w="1175"/>
        <w:gridCol w:w="815"/>
        <w:gridCol w:w="1010"/>
        <w:gridCol w:w="1017"/>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51"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建筑使用功能</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单位</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指标</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户数/面积（㎡）</w:t>
            </w: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应配建停车位（个）</w:t>
            </w: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设计配建停车位（个）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54" w:type="dxa"/>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居住</w:t>
            </w:r>
          </w:p>
        </w:tc>
        <w:tc>
          <w:tcPr>
            <w:tcW w:w="239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一类住宅（建筑面积&gt;200㎡）</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车位/户</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2.5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4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39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二类住宅（100㎡≤建筑面积≤200㎡）</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车位/户</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4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39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三类住宅（建筑面积﹤100㎡）</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车位/户</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4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39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保障性住房</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车位/户</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0.8</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51"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both"/>
              <w:rPr>
                <w:rFonts w:hint="default" w:ascii="Times New Roman" w:hAnsi="Times New Roman" w:eastAsia="方正仿宋_GBK" w:cs="Times New Roman"/>
                <w:sz w:val="24"/>
              </w:rPr>
            </w:pPr>
            <w:r>
              <w:rPr>
                <w:rFonts w:hint="default" w:ascii="Times New Roman" w:hAnsi="Times New Roman" w:eastAsia="方正仿宋_GBK" w:cs="Times New Roman"/>
                <w:sz w:val="24"/>
              </w:rPr>
              <w:t>幼儿园、物管用房、社区组织工作用房等住宅配套用房</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65" w:hRule="atLeast"/>
          <w:jc w:val="center"/>
        </w:trPr>
        <w:tc>
          <w:tcPr>
            <w:tcW w:w="3351"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商业、办公</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1.2</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医院</w:t>
            </w: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三甲医院</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其他医院</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车位/100m2建筑面积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1.2</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351" w:type="dxa"/>
            <w:gridSpan w:val="3"/>
            <w:tcBorders>
              <w:top w:val="single" w:color="auto" w:sz="4" w:space="0"/>
              <w:left w:val="single" w:color="auto" w:sz="4" w:space="0"/>
              <w:bottom w:val="single" w:color="auto" w:sz="4" w:space="0"/>
              <w:right w:val="single" w:color="auto" w:sz="4" w:space="0"/>
            </w:tcBorders>
            <w:vAlign w:val="center"/>
          </w:tcPr>
          <w:p>
            <w:pPr>
              <w:spacing w:line="360" w:lineRule="exact"/>
              <w:jc w:val="both"/>
              <w:rPr>
                <w:rFonts w:hint="default" w:ascii="Times New Roman" w:hAnsi="Times New Roman" w:eastAsia="方正仿宋_GBK" w:cs="Times New Roman"/>
                <w:sz w:val="24"/>
              </w:rPr>
            </w:pPr>
            <w:r>
              <w:rPr>
                <w:rFonts w:hint="default" w:ascii="Times New Roman" w:hAnsi="Times New Roman" w:eastAsia="方正仿宋_GBK" w:cs="Times New Roman"/>
                <w:sz w:val="24"/>
              </w:rPr>
              <w:t>旅馆，展览馆、博物馆、科技馆、图书馆、剧院等文化设施</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0.8</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6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both"/>
              <w:rPr>
                <w:rFonts w:hint="default" w:ascii="Times New Roman" w:hAnsi="Times New Roman" w:eastAsia="方正仿宋_GBK" w:cs="Times New Roman"/>
                <w:sz w:val="24"/>
              </w:rPr>
            </w:pPr>
            <w:r>
              <w:rPr>
                <w:rFonts w:hint="default" w:ascii="Times New Roman" w:hAnsi="Times New Roman" w:eastAsia="方正仿宋_GBK" w:cs="Times New Roman"/>
                <w:sz w:val="24"/>
              </w:rPr>
              <w:t>场馆〔不包括设在学校内的体育场（馆）〕</w:t>
            </w: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会展中心</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0.6</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大型体育场（馆）</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车位/100座</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4.0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其他体育场（馆）</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车位/100座</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2.5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学校</w:t>
            </w: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大中专院校</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中小学</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车位/班级</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3.0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eastAsia="方正仿宋_GBK" w:cs="Times New Roman"/>
                <w:sz w:val="24"/>
              </w:rPr>
            </w:pPr>
            <w:r>
              <w:rPr>
                <w:rFonts w:hint="default" w:ascii="Times New Roman" w:hAnsi="Times New Roman" w:eastAsia="方正仿宋_GBK" w:cs="Times New Roman"/>
                <w:sz w:val="24"/>
              </w:rPr>
              <w:t>工业、物流仓储</w:t>
            </w: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工业项目中生产用房、物流仓储</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0.1</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标准厂房项目中生产用房</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8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hint="default" w:ascii="Times New Roman" w:hAnsi="Times New Roman" w:eastAsia="方正仿宋_GBK" w:cs="Times New Roman"/>
                <w:sz w:val="24"/>
              </w:rPr>
            </w:pPr>
          </w:p>
        </w:tc>
        <w:tc>
          <w:tcPr>
            <w:tcW w:w="2084"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工业项目中行政办公及生活服务设施、楼宇产业园项目中生产用房</w:t>
            </w:r>
          </w:p>
        </w:tc>
        <w:tc>
          <w:tcPr>
            <w:tcW w:w="1175"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1.0</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长途客运站、火车站、客运码头、机场</w:t>
            </w:r>
          </w:p>
        </w:tc>
        <w:tc>
          <w:tcPr>
            <w:tcW w:w="3259"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建筑面积</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公园</w:t>
            </w:r>
          </w:p>
        </w:tc>
        <w:tc>
          <w:tcPr>
            <w:tcW w:w="3259"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车位/100</w:t>
            </w:r>
            <w:r>
              <w:rPr>
                <w:rFonts w:hint="default" w:ascii="Times New Roman" w:hAnsi="Times New Roman" w:eastAsia="方正仿宋_GBK" w:cs="Times New Roman"/>
                <w:spacing w:val="20"/>
                <w:sz w:val="24"/>
                <w:lang w:val="en-GB"/>
              </w:rPr>
              <w:t xml:space="preserve"> m</w:t>
            </w:r>
            <w:r>
              <w:rPr>
                <w:rFonts w:hint="default" w:ascii="Times New Roman" w:hAnsi="Times New Roman" w:eastAsia="方正仿宋_GBK" w:cs="Times New Roman"/>
                <w:spacing w:val="20"/>
                <w:sz w:val="24"/>
                <w:vertAlign w:val="superscript"/>
                <w:lang w:val="en-GB"/>
              </w:rPr>
              <w:t>2</w:t>
            </w:r>
            <w:r>
              <w:rPr>
                <w:rFonts w:hint="default" w:ascii="Times New Roman" w:hAnsi="Times New Roman" w:eastAsia="方正仿宋_GBK" w:cs="Times New Roman"/>
                <w:sz w:val="24"/>
              </w:rPr>
              <w:t>公园用地</w:t>
            </w: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0.5</w:t>
            </w: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67"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r>
              <w:rPr>
                <w:rFonts w:hint="default" w:ascii="Times New Roman" w:hAnsi="Times New Roman" w:eastAsia="方正仿宋_GBK" w:cs="Times New Roman"/>
                <w:sz w:val="24"/>
              </w:rPr>
              <w:t>合计</w:t>
            </w:r>
          </w:p>
        </w:tc>
        <w:tc>
          <w:tcPr>
            <w:tcW w:w="3259"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default" w:ascii="Times New Roman" w:hAnsi="Times New Roman" w:eastAsia="方正仿宋_GBK" w:cs="Times New Roman"/>
                <w:sz w:val="24"/>
              </w:rPr>
            </w:pPr>
          </w:p>
        </w:tc>
        <w:tc>
          <w:tcPr>
            <w:tcW w:w="81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1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c>
          <w:tcPr>
            <w:tcW w:w="104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413" w:type="dxa"/>
            <w:gridSpan w:val="8"/>
            <w:tcBorders>
              <w:top w:val="single" w:color="auto" w:sz="4" w:space="0"/>
              <w:left w:val="single" w:color="auto" w:sz="4" w:space="0"/>
              <w:bottom w:val="single" w:color="auto" w:sz="4" w:space="0"/>
              <w:right w:val="single" w:color="auto" w:sz="4" w:space="0"/>
            </w:tcBorders>
            <w:vAlign w:val="center"/>
          </w:tcPr>
          <w:p>
            <w:pPr>
              <w:spacing w:line="360" w:lineRule="exact"/>
              <w:jc w:val="both"/>
              <w:rPr>
                <w:rFonts w:hint="default" w:ascii="Times New Roman" w:hAnsi="Times New Roman" w:eastAsia="方正仿宋_GBK" w:cs="Times New Roman"/>
                <w:sz w:val="24"/>
              </w:rPr>
            </w:pPr>
            <w:r>
              <w:rPr>
                <w:rFonts w:hint="default" w:ascii="Times New Roman" w:hAnsi="Times New Roman" w:eastAsia="方正仿宋_GBK" w:cs="Times New Roman"/>
                <w:sz w:val="24"/>
              </w:rPr>
              <w:t>注：</w:t>
            </w:r>
            <w:r>
              <w:rPr>
                <w:rFonts w:hint="eastAsia" w:ascii="Times New Roman" w:hAnsi="Times New Roman" w:eastAsia="方正仿宋_GBK" w:cs="Times New Roman"/>
                <w:sz w:val="24"/>
                <w:lang w:eastAsia="zh-CN"/>
              </w:rPr>
              <w:t>1</w:t>
            </w:r>
            <w:r>
              <w:rPr>
                <w:rFonts w:hint="default" w:ascii="Times New Roman" w:hAnsi="Times New Roman" w:eastAsia="方正仿宋_GBK" w:cs="Times New Roman"/>
                <w:sz w:val="24"/>
              </w:rPr>
              <w:t>．本表中停车位均指小型汽车的停车位，微型车位不纳入指标计算，计算出的停车位数量不足1个的按照1个计算。</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2</w:t>
            </w:r>
            <w:r>
              <w:rPr>
                <w:rFonts w:hint="default" w:ascii="Times New Roman" w:hAnsi="Times New Roman" w:eastAsia="方正仿宋_GBK" w:cs="Times New Roman"/>
                <w:sz w:val="24"/>
              </w:rPr>
              <w:t>．本表中停车位为建设项目应当配建的停车位数量下限值。</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3</w:t>
            </w:r>
            <w:r>
              <w:rPr>
                <w:rFonts w:hint="default" w:ascii="Times New Roman" w:hAnsi="Times New Roman" w:eastAsia="方正仿宋_GBK" w:cs="Times New Roman"/>
                <w:sz w:val="24"/>
              </w:rPr>
              <w:t>．大中专院校建设项目的停车位配建按照扣除教学用房以后的建筑面积计算。</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4</w:t>
            </w:r>
            <w:r>
              <w:rPr>
                <w:rFonts w:hint="default" w:ascii="Times New Roman" w:hAnsi="Times New Roman" w:eastAsia="方正仿宋_GBK" w:cs="Times New Roman"/>
                <w:sz w:val="24"/>
              </w:rPr>
              <w:t>．宿舍建筑配建停车位标准按照所服务的建筑功能（如工业、学校等）确定。</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5</w:t>
            </w:r>
            <w:r>
              <w:rPr>
                <w:rFonts w:hint="default" w:ascii="Times New Roman" w:hAnsi="Times New Roman" w:eastAsia="方正仿宋_GBK" w:cs="Times New Roman"/>
                <w:sz w:val="24"/>
              </w:rPr>
              <w:t>．养老设施的配建停车位标准参照住宅执行，不得低于保障性住房标准，其地面停车位可以计入配建指标。</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6</w:t>
            </w:r>
            <w:r>
              <w:rPr>
                <w:rFonts w:hint="default" w:ascii="Times New Roman" w:hAnsi="Times New Roman" w:eastAsia="方正仿宋_GBK" w:cs="Times New Roman"/>
                <w:sz w:val="24"/>
              </w:rPr>
              <w:t>．主城区以外的区县（自治县）避暑休闲地产中的住宅建筑停车位配建标准按保障性住房标准执行，地面停车位数量不得超过其配建停车位数量的30%。</w:t>
            </w:r>
          </w:p>
          <w:p>
            <w:pPr>
              <w:spacing w:line="360" w:lineRule="exact"/>
              <w:jc w:val="both"/>
              <w:rPr>
                <w:rFonts w:hint="default" w:ascii="Times New Roman" w:hAnsi="Times New Roman" w:eastAsia="方正仿宋_GBK" w:cs="Times New Roman"/>
                <w:sz w:val="24"/>
              </w:rPr>
            </w:pPr>
            <w:r>
              <w:rPr>
                <w:rFonts w:hint="eastAsia" w:ascii="Times New Roman" w:hAnsi="Times New Roman" w:eastAsia="方正仿宋_GBK" w:cs="Times New Roman"/>
                <w:sz w:val="24"/>
                <w:lang w:eastAsia="zh-CN"/>
              </w:rPr>
              <w:t>7</w:t>
            </w:r>
            <w:r>
              <w:rPr>
                <w:rFonts w:hint="default" w:ascii="Times New Roman" w:hAnsi="Times New Roman" w:eastAsia="方正仿宋_GBK" w:cs="Times New Roman"/>
                <w:sz w:val="24"/>
              </w:rPr>
              <w:t>．未列入本表中的建筑配建标准，由城乡规划主管部门根据具体情况，参照有关标准确定。</w:t>
            </w:r>
          </w:p>
        </w:tc>
      </w:tr>
    </w:tbl>
    <w:p>
      <w:pPr>
        <w:rPr>
          <w:sz w:val="24"/>
        </w:rPr>
      </w:pPr>
    </w:p>
    <w:p>
      <w:pPr>
        <w:rPr>
          <w:rFonts w:eastAsia="方正黑体_GBK"/>
          <w:szCs w:val="32"/>
        </w:rPr>
      </w:pPr>
      <w:r>
        <w:rPr>
          <w:sz w:val="24"/>
        </w:rPr>
        <w:br w:type="page"/>
      </w:r>
      <w:r>
        <w:rPr>
          <w:rFonts w:ascii="Times New Roman" w:hAnsi="Times New Roman" w:eastAsia="方正黑体_GBK" w:cs="Times New Roman"/>
          <w:sz w:val="32"/>
          <w:szCs w:val="32"/>
        </w:rPr>
        <w:t>附件3</w:t>
      </w:r>
    </w:p>
    <w:p>
      <w:pPr>
        <w:pStyle w:val="2"/>
        <w:jc w:val="center"/>
        <w:rPr>
          <w:color w:val="FF0000"/>
          <w:rPrChange w:id="2" w:author="段儿" w:date="2022-05-18T15:24:54Z">
            <w:rPr/>
          </w:rPrChange>
        </w:rPr>
      </w:pPr>
      <w:bookmarkStart w:id="2" w:name="_GoBack"/>
      <w:r>
        <w:rPr>
          <w:rFonts w:eastAsia="方正小标宋_GBK"/>
          <w:color w:val="FF0000"/>
          <w:sz w:val="44"/>
          <w:szCs w:val="44"/>
          <w:rPrChange w:id="3" w:author="段儿" w:date="2022-05-18T15:24:54Z">
            <w:rPr>
              <w:rFonts w:eastAsia="方正小标宋_GBK"/>
              <w:sz w:val="44"/>
              <w:szCs w:val="44"/>
            </w:rPr>
          </w:rPrChange>
        </w:rPr>
        <w:t>特定用地项目房屋功能及登记用途对照表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4"/>
        <w:gridCol w:w="2655"/>
        <w:gridCol w:w="1725"/>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4"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5" w:author="段儿" w:date="2022-05-18T15:24:54Z">
                  <w:rPr>
                    <w:rFonts w:hint="default" w:ascii="Times New Roman" w:hAnsi="Times New Roman" w:eastAsia="方正仿宋_GBK" w:cs="Times New Roman"/>
                    <w:sz w:val="32"/>
                    <w:szCs w:val="32"/>
                  </w:rPr>
                </w:rPrChange>
              </w:rPr>
              <w:t>用地类别</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6"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7" w:author="段儿" w:date="2022-05-18T15:24:54Z">
                  <w:rPr>
                    <w:rFonts w:hint="default" w:ascii="Times New Roman" w:hAnsi="Times New Roman" w:eastAsia="方正仿宋_GBK" w:cs="Times New Roman"/>
                    <w:sz w:val="32"/>
                    <w:szCs w:val="32"/>
                  </w:rPr>
                </w:rPrChange>
              </w:rPr>
              <w:t>房屋功能</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8"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9" w:author="段儿" w:date="2022-05-18T15:24:54Z">
                  <w:rPr>
                    <w:rFonts w:hint="default" w:ascii="Times New Roman" w:hAnsi="Times New Roman" w:eastAsia="方正仿宋_GBK" w:cs="Times New Roman"/>
                    <w:sz w:val="32"/>
                    <w:szCs w:val="32"/>
                  </w:rPr>
                </w:rPrChange>
              </w:rPr>
              <w:t>登记用途</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10"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11" w:author="段儿" w:date="2022-05-18T15:24:54Z">
                  <w:rPr>
                    <w:rFonts w:hint="default" w:ascii="Times New Roman" w:hAnsi="Times New Roman" w:eastAsia="方正仿宋_GBK" w:cs="Times New Roman"/>
                    <w:sz w:val="32"/>
                    <w:szCs w:val="32"/>
                  </w:rPr>
                </w:rPrChang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 w:hRule="atLeast"/>
        </w:trPr>
        <w:tc>
          <w:tcPr>
            <w:tcW w:w="2434" w:type="dxa"/>
            <w:vMerge w:val="restart"/>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12"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13" w:author="段儿" w:date="2022-05-18T15:24:54Z">
                  <w:rPr>
                    <w:rFonts w:hint="default" w:ascii="Times New Roman" w:hAnsi="Times New Roman" w:eastAsia="方正仿宋_GBK" w:cs="Times New Roman"/>
                    <w:sz w:val="32"/>
                    <w:szCs w:val="32"/>
                  </w:rPr>
                </w:rPrChange>
              </w:rPr>
              <w:t>工业</w:t>
            </w:r>
          </w:p>
          <w:p>
            <w:pPr>
              <w:pStyle w:val="2"/>
              <w:jc w:val="center"/>
              <w:rPr>
                <w:rFonts w:hint="default" w:ascii="Times New Roman" w:hAnsi="Times New Roman" w:eastAsia="方正仿宋_GBK" w:cs="Times New Roman"/>
                <w:color w:val="FF0000"/>
                <w:sz w:val="32"/>
                <w:szCs w:val="32"/>
                <w:rPrChange w:id="14"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15" w:author="段儿" w:date="2022-05-18T15:24:54Z">
                  <w:rPr>
                    <w:rFonts w:hint="default" w:ascii="Times New Roman" w:hAnsi="Times New Roman" w:eastAsia="方正仿宋_GBK" w:cs="Times New Roman"/>
                    <w:sz w:val="32"/>
                    <w:szCs w:val="32"/>
                  </w:rPr>
                </w:rPrChange>
              </w:rPr>
              <w:t>（M）</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16"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17" w:author="段儿" w:date="2022-05-18T15:24:54Z">
                  <w:rPr>
                    <w:rFonts w:hint="default" w:ascii="Times New Roman" w:hAnsi="Times New Roman" w:eastAsia="方正仿宋_GBK" w:cs="Times New Roman"/>
                    <w:sz w:val="32"/>
                    <w:szCs w:val="32"/>
                  </w:rPr>
                </w:rPrChange>
              </w:rPr>
              <w:t>工业（厂房）</w:t>
            </w:r>
          </w:p>
        </w:tc>
        <w:tc>
          <w:tcPr>
            <w:tcW w:w="1725" w:type="dxa"/>
            <w:vMerge w:val="restart"/>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18"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19" w:author="段儿" w:date="2022-05-18T15:24:54Z">
                  <w:rPr>
                    <w:rFonts w:hint="default" w:ascii="Times New Roman" w:hAnsi="Times New Roman" w:eastAsia="方正仿宋_GBK" w:cs="Times New Roman"/>
                    <w:sz w:val="32"/>
                    <w:szCs w:val="32"/>
                  </w:rPr>
                </w:rPrChange>
              </w:rPr>
              <w:t>工业</w:t>
            </w:r>
          </w:p>
        </w:tc>
        <w:tc>
          <w:tcPr>
            <w:tcW w:w="1708" w:type="dxa"/>
            <w:vMerge w:val="restart"/>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20" w:author="段儿" w:date="2022-05-18T15:24:54Z">
                  <w:rPr>
                    <w:rFonts w:hint="default" w:ascii="Times New Roman" w:hAnsi="Times New Roman" w:eastAsia="方正仿宋_GBK" w:cs="Times New Roman"/>
                    <w:sz w:val="32"/>
                    <w:szCs w:val="32"/>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4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color w:val="FF0000"/>
                <w:sz w:val="32"/>
                <w:szCs w:val="32"/>
                <w:rPrChange w:id="21" w:author="段儿" w:date="2022-05-18T15:24:54Z">
                  <w:rPr>
                    <w:rFonts w:hint="default" w:ascii="Times New Roman" w:hAnsi="Times New Roman" w:eastAsia="方正仿宋_GBK" w:cs="Times New Roman"/>
                    <w:sz w:val="32"/>
                    <w:szCs w:val="32"/>
                  </w:rPr>
                </w:rPrChange>
              </w:rPr>
            </w:pP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22"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23" w:author="段儿" w:date="2022-05-18T15:24:54Z">
                  <w:rPr>
                    <w:rFonts w:hint="default" w:ascii="Times New Roman" w:hAnsi="Times New Roman" w:eastAsia="方正仿宋_GBK" w:cs="Times New Roman"/>
                    <w:sz w:val="32"/>
                    <w:szCs w:val="32"/>
                  </w:rPr>
                </w:rPrChange>
              </w:rPr>
              <w:t>工业（办公）</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color w:val="FF0000"/>
                <w:sz w:val="32"/>
                <w:szCs w:val="32"/>
                <w:rPrChange w:id="24" w:author="段儿" w:date="2022-05-18T15:24:54Z">
                  <w:rPr>
                    <w:rFonts w:hint="default" w:ascii="Times New Roman" w:hAnsi="Times New Roman" w:eastAsia="方正仿宋_GBK" w:cs="Times New Roman"/>
                    <w:sz w:val="32"/>
                    <w:szCs w:val="32"/>
                  </w:rPr>
                </w:rPrChang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color w:val="FF0000"/>
                <w:sz w:val="32"/>
                <w:szCs w:val="32"/>
                <w:rPrChange w:id="25" w:author="段儿" w:date="2022-05-18T15:24:54Z">
                  <w:rPr>
                    <w:rFonts w:hint="default" w:ascii="Times New Roman" w:hAnsi="Times New Roman" w:eastAsia="方正仿宋_GBK" w:cs="Times New Roman"/>
                    <w:sz w:val="32"/>
                    <w:szCs w:val="32"/>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4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color w:val="FF0000"/>
                <w:sz w:val="32"/>
                <w:szCs w:val="32"/>
                <w:rPrChange w:id="26" w:author="段儿" w:date="2022-05-18T15:24:54Z">
                  <w:rPr>
                    <w:rFonts w:hint="default" w:ascii="Times New Roman" w:hAnsi="Times New Roman" w:eastAsia="方正仿宋_GBK" w:cs="Times New Roman"/>
                    <w:sz w:val="32"/>
                    <w:szCs w:val="32"/>
                  </w:rPr>
                </w:rPrChange>
              </w:rPr>
            </w:pP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27"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28" w:author="段儿" w:date="2022-05-18T15:24:54Z">
                  <w:rPr>
                    <w:rFonts w:hint="default" w:ascii="Times New Roman" w:hAnsi="Times New Roman" w:eastAsia="方正仿宋_GBK" w:cs="Times New Roman"/>
                    <w:sz w:val="32"/>
                    <w:szCs w:val="32"/>
                  </w:rPr>
                </w:rPrChange>
              </w:rPr>
              <w:t>工业（车库）</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color w:val="FF0000"/>
                <w:sz w:val="32"/>
                <w:szCs w:val="32"/>
                <w:rPrChange w:id="29" w:author="段儿" w:date="2022-05-18T15:24:54Z">
                  <w:rPr>
                    <w:rFonts w:hint="default" w:ascii="Times New Roman" w:hAnsi="Times New Roman" w:eastAsia="方正仿宋_GBK" w:cs="Times New Roman"/>
                    <w:sz w:val="32"/>
                    <w:szCs w:val="32"/>
                  </w:rPr>
                </w:rPrChang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color w:val="FF0000"/>
                <w:sz w:val="32"/>
                <w:szCs w:val="32"/>
                <w:rPrChange w:id="30" w:author="段儿" w:date="2022-05-18T15:24:54Z">
                  <w:rPr>
                    <w:rFonts w:hint="default" w:ascii="Times New Roman" w:hAnsi="Times New Roman" w:eastAsia="方正仿宋_GBK" w:cs="Times New Roman"/>
                    <w:sz w:val="32"/>
                    <w:szCs w:val="32"/>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43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color w:val="FF0000"/>
                <w:sz w:val="32"/>
                <w:szCs w:val="32"/>
                <w:rPrChange w:id="31" w:author="段儿" w:date="2022-05-18T15:24:54Z">
                  <w:rPr>
                    <w:rFonts w:hint="default" w:ascii="Times New Roman" w:hAnsi="Times New Roman" w:eastAsia="方正仿宋_GBK" w:cs="Times New Roman"/>
                    <w:sz w:val="32"/>
                    <w:szCs w:val="32"/>
                  </w:rPr>
                </w:rPrChange>
              </w:rPr>
            </w:pP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32"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33" w:author="段儿" w:date="2022-05-18T15:24:54Z">
                  <w:rPr>
                    <w:rFonts w:hint="default" w:ascii="Times New Roman" w:hAnsi="Times New Roman" w:eastAsia="方正仿宋_GBK" w:cs="Times New Roman"/>
                    <w:sz w:val="32"/>
                    <w:szCs w:val="32"/>
                  </w:rPr>
                </w:rPrChange>
              </w:rPr>
              <w:t>工业（...）</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color w:val="FF0000"/>
                <w:sz w:val="32"/>
                <w:szCs w:val="32"/>
                <w:rPrChange w:id="34" w:author="段儿" w:date="2022-05-18T15:24:54Z">
                  <w:rPr>
                    <w:rFonts w:hint="default" w:ascii="Times New Roman" w:hAnsi="Times New Roman" w:eastAsia="方正仿宋_GBK" w:cs="Times New Roman"/>
                    <w:sz w:val="32"/>
                    <w:szCs w:val="32"/>
                  </w:rPr>
                </w:rPrChang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eastAsia="方正仿宋_GBK" w:cs="Times New Roman"/>
                <w:color w:val="FF0000"/>
                <w:sz w:val="32"/>
                <w:szCs w:val="32"/>
                <w:rPrChange w:id="35" w:author="段儿" w:date="2022-05-18T15:24:54Z">
                  <w:rPr>
                    <w:rFonts w:hint="default" w:ascii="Times New Roman" w:hAnsi="Times New Roman" w:eastAsia="方正仿宋_GBK" w:cs="Times New Roman"/>
                    <w:sz w:val="32"/>
                    <w:szCs w:val="32"/>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36"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37" w:author="段儿" w:date="2022-05-18T15:24:54Z">
                  <w:rPr>
                    <w:rFonts w:hint="default" w:ascii="Times New Roman" w:hAnsi="Times New Roman" w:eastAsia="方正仿宋_GBK" w:cs="Times New Roman"/>
                    <w:sz w:val="32"/>
                    <w:szCs w:val="32"/>
                  </w:rPr>
                </w:rPrChange>
              </w:rPr>
              <w:t>物流仓储（W）</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38"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39" w:author="段儿" w:date="2022-05-18T15:24:54Z">
                  <w:rPr>
                    <w:rFonts w:hint="default" w:ascii="Times New Roman" w:hAnsi="Times New Roman" w:eastAsia="方正仿宋_GBK" w:cs="Times New Roman"/>
                    <w:sz w:val="32"/>
                    <w:szCs w:val="32"/>
                  </w:rPr>
                </w:rPrChange>
              </w:rPr>
              <w:t>物流仓储（...）</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40"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41" w:author="段儿" w:date="2022-05-18T15:24:54Z">
                  <w:rPr>
                    <w:rFonts w:hint="default" w:ascii="Times New Roman" w:hAnsi="Times New Roman" w:eastAsia="方正仿宋_GBK" w:cs="Times New Roman"/>
                    <w:sz w:val="32"/>
                    <w:szCs w:val="32"/>
                  </w:rPr>
                </w:rPrChange>
              </w:rPr>
              <w:t>仓储</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42" w:author="段儿" w:date="2022-05-18T15:24:54Z">
                  <w:rPr>
                    <w:rFonts w:hint="default" w:ascii="Times New Roman" w:hAnsi="Times New Roman" w:eastAsia="方正仿宋_GBK" w:cs="Times New Roman"/>
                    <w:sz w:val="32"/>
                    <w:szCs w:val="32"/>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43"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44" w:author="段儿" w:date="2022-05-18T15:24:54Z">
                  <w:rPr>
                    <w:rFonts w:hint="default" w:ascii="Times New Roman" w:hAnsi="Times New Roman" w:eastAsia="方正仿宋_GBK" w:cs="Times New Roman"/>
                    <w:sz w:val="32"/>
                    <w:szCs w:val="32"/>
                  </w:rPr>
                </w:rPrChange>
              </w:rPr>
              <w:t>医疗卫生</w:t>
            </w:r>
          </w:p>
          <w:p>
            <w:pPr>
              <w:pStyle w:val="2"/>
              <w:jc w:val="center"/>
              <w:rPr>
                <w:rFonts w:hint="default" w:ascii="Times New Roman" w:hAnsi="Times New Roman" w:eastAsia="方正仿宋_GBK" w:cs="Times New Roman"/>
                <w:color w:val="FF0000"/>
                <w:sz w:val="32"/>
                <w:szCs w:val="32"/>
                <w:rPrChange w:id="45"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46" w:author="段儿" w:date="2022-05-18T15:24:54Z">
                  <w:rPr>
                    <w:rFonts w:hint="default" w:ascii="Times New Roman" w:hAnsi="Times New Roman" w:eastAsia="方正仿宋_GBK" w:cs="Times New Roman"/>
                    <w:sz w:val="32"/>
                    <w:szCs w:val="32"/>
                  </w:rPr>
                </w:rPrChange>
              </w:rPr>
              <w:t>（A5）</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47"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48" w:author="段儿" w:date="2022-05-18T15:24:54Z">
                  <w:rPr>
                    <w:rFonts w:hint="default" w:ascii="Times New Roman" w:hAnsi="Times New Roman" w:eastAsia="方正仿宋_GBK" w:cs="Times New Roman"/>
                    <w:sz w:val="32"/>
                    <w:szCs w:val="32"/>
                  </w:rPr>
                </w:rPrChange>
              </w:rPr>
              <w:t>医疗卫生（...）</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49"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50" w:author="段儿" w:date="2022-05-18T15:24:54Z">
                  <w:rPr>
                    <w:rFonts w:hint="default" w:ascii="Times New Roman" w:hAnsi="Times New Roman" w:eastAsia="方正仿宋_GBK" w:cs="Times New Roman"/>
                    <w:sz w:val="32"/>
                    <w:szCs w:val="32"/>
                  </w:rPr>
                </w:rPrChange>
              </w:rPr>
              <w:t>医疗卫生</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51" w:author="段儿" w:date="2022-05-18T15:24:54Z">
                  <w:rPr>
                    <w:rFonts w:hint="default" w:ascii="Times New Roman" w:hAnsi="Times New Roman" w:eastAsia="方正仿宋_GBK" w:cs="Times New Roman"/>
                    <w:sz w:val="32"/>
                    <w:szCs w:val="32"/>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52"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53" w:author="段儿" w:date="2022-05-18T15:24:54Z">
                  <w:rPr>
                    <w:rFonts w:hint="default" w:ascii="Times New Roman" w:hAnsi="Times New Roman" w:eastAsia="方正仿宋_GBK" w:cs="Times New Roman"/>
                    <w:sz w:val="32"/>
                    <w:szCs w:val="32"/>
                  </w:rPr>
                </w:rPrChange>
              </w:rPr>
              <w:t>教育（A31、A32、A33、A34）</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54"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55" w:author="段儿" w:date="2022-05-18T15:24:54Z">
                  <w:rPr>
                    <w:rFonts w:hint="default" w:ascii="Times New Roman" w:hAnsi="Times New Roman" w:eastAsia="方正仿宋_GBK" w:cs="Times New Roman"/>
                    <w:sz w:val="32"/>
                    <w:szCs w:val="32"/>
                  </w:rPr>
                </w:rPrChange>
              </w:rPr>
              <w:t>教育（...）</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56"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57" w:author="段儿" w:date="2022-05-18T15:24:54Z">
                  <w:rPr>
                    <w:rFonts w:hint="default" w:ascii="Times New Roman" w:hAnsi="Times New Roman" w:eastAsia="方正仿宋_GBK" w:cs="Times New Roman"/>
                    <w:sz w:val="32"/>
                    <w:szCs w:val="32"/>
                  </w:rPr>
                </w:rPrChange>
              </w:rPr>
              <w:t>教育</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58" w:author="段儿" w:date="2022-05-18T15:24:54Z">
                  <w:rPr>
                    <w:rFonts w:hint="default" w:ascii="Times New Roman" w:hAnsi="Times New Roman" w:eastAsia="方正仿宋_GBK" w:cs="Times New Roman"/>
                    <w:sz w:val="32"/>
                    <w:szCs w:val="32"/>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4"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59"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60" w:author="段儿" w:date="2022-05-18T15:24:54Z">
                  <w:rPr>
                    <w:rFonts w:hint="default" w:ascii="Times New Roman" w:hAnsi="Times New Roman" w:eastAsia="方正仿宋_GBK" w:cs="Times New Roman"/>
                    <w:sz w:val="32"/>
                    <w:szCs w:val="32"/>
                  </w:rPr>
                </w:rPrChange>
              </w:rPr>
              <w:t>科研（A35）</w:t>
            </w:r>
          </w:p>
        </w:tc>
        <w:tc>
          <w:tcPr>
            <w:tcW w:w="265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61"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62" w:author="段儿" w:date="2022-05-18T15:24:54Z">
                  <w:rPr>
                    <w:rFonts w:hint="default" w:ascii="Times New Roman" w:hAnsi="Times New Roman" w:eastAsia="方正仿宋_GBK" w:cs="Times New Roman"/>
                    <w:sz w:val="32"/>
                    <w:szCs w:val="32"/>
                  </w:rPr>
                </w:rPrChange>
              </w:rPr>
              <w:t>科研（...）</w:t>
            </w:r>
          </w:p>
        </w:tc>
        <w:tc>
          <w:tcPr>
            <w:tcW w:w="1725"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63"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64" w:author="段儿" w:date="2022-05-18T15:24:54Z">
                  <w:rPr>
                    <w:rFonts w:hint="default" w:ascii="Times New Roman" w:hAnsi="Times New Roman" w:eastAsia="方正仿宋_GBK" w:cs="Times New Roman"/>
                    <w:sz w:val="32"/>
                    <w:szCs w:val="32"/>
                  </w:rPr>
                </w:rPrChange>
              </w:rPr>
              <w:t>科研</w:t>
            </w:r>
          </w:p>
        </w:tc>
        <w:tc>
          <w:tcPr>
            <w:tcW w:w="1708" w:type="dxa"/>
            <w:tcBorders>
              <w:top w:val="single" w:color="auto" w:sz="4" w:space="0"/>
              <w:left w:val="single" w:color="auto" w:sz="4" w:space="0"/>
              <w:bottom w:val="single" w:color="auto" w:sz="4" w:space="0"/>
              <w:right w:val="single" w:color="auto" w:sz="4" w:space="0"/>
            </w:tcBorders>
            <w:vAlign w:val="center"/>
          </w:tcPr>
          <w:p>
            <w:pPr>
              <w:pStyle w:val="2"/>
              <w:jc w:val="center"/>
              <w:rPr>
                <w:rFonts w:hint="default" w:ascii="Times New Roman" w:hAnsi="Times New Roman" w:eastAsia="方正仿宋_GBK" w:cs="Times New Roman"/>
                <w:color w:val="FF0000"/>
                <w:sz w:val="32"/>
                <w:szCs w:val="32"/>
                <w:rPrChange w:id="65" w:author="段儿" w:date="2022-05-18T15:24:54Z">
                  <w:rPr>
                    <w:rFonts w:hint="default" w:ascii="Times New Roman" w:hAnsi="Times New Roman" w:eastAsia="方正仿宋_GBK" w:cs="Times New Roman"/>
                    <w:sz w:val="32"/>
                    <w:szCs w:val="32"/>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2"/>
              <w:jc w:val="left"/>
              <w:rPr>
                <w:rFonts w:hint="default" w:ascii="Times New Roman" w:hAnsi="Times New Roman" w:eastAsia="方正仿宋_GBK" w:cs="Times New Roman"/>
                <w:color w:val="FF0000"/>
                <w:sz w:val="32"/>
                <w:szCs w:val="32"/>
                <w:rPrChange w:id="66" w:author="段儿" w:date="2022-05-18T15:24:54Z">
                  <w:rPr>
                    <w:rFonts w:hint="default" w:ascii="Times New Roman" w:hAnsi="Times New Roman" w:eastAsia="方正仿宋_GBK" w:cs="Times New Roman"/>
                    <w:sz w:val="32"/>
                    <w:szCs w:val="32"/>
                  </w:rPr>
                </w:rPrChange>
              </w:rPr>
            </w:pPr>
            <w:r>
              <w:rPr>
                <w:rFonts w:hint="default" w:ascii="Times New Roman" w:hAnsi="Times New Roman" w:eastAsia="方正仿宋_GBK" w:cs="Times New Roman"/>
                <w:color w:val="FF0000"/>
                <w:sz w:val="32"/>
                <w:szCs w:val="32"/>
                <w:rPrChange w:id="67" w:author="段儿" w:date="2022-05-18T15:24:54Z">
                  <w:rPr>
                    <w:rFonts w:hint="default" w:ascii="Times New Roman" w:hAnsi="Times New Roman" w:eastAsia="方正仿宋_GBK" w:cs="Times New Roman"/>
                    <w:sz w:val="32"/>
                    <w:szCs w:val="32"/>
                  </w:rPr>
                </w:rPrChange>
              </w:rPr>
              <w:t>注：房屋功能格式为“土地用途（房屋功能）”。</w:t>
            </w:r>
          </w:p>
        </w:tc>
      </w:tr>
    </w:tbl>
    <w:p>
      <w:pPr>
        <w:rPr>
          <w:color w:val="FF0000"/>
          <w:sz w:val="32"/>
          <w:szCs w:val="32"/>
          <w:rPrChange w:id="68" w:author="段儿" w:date="2022-05-18T15:24:54Z">
            <w:rPr>
              <w:sz w:val="32"/>
              <w:szCs w:val="32"/>
            </w:rPr>
          </w:rPrChange>
        </w:rPr>
      </w:pPr>
    </w:p>
    <w:bookmarkEnd w:id="2"/>
    <w:p>
      <w:pPr>
        <w:ind w:firstLine="640"/>
      </w:pPr>
    </w:p>
    <w:p/>
    <w:sectPr>
      <w:pgSz w:w="11906" w:h="16838"/>
      <w:pgMar w:top="1440" w:right="1800" w:bottom="1440" w:left="1800" w:header="851" w:footer="11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0D99C61-B239-40C3-A2E0-497DA04AFE39}"/>
  </w:font>
  <w:font w:name="Arial">
    <w:panose1 w:val="020B0604020202020204"/>
    <w:charset w:val="01"/>
    <w:family w:val="swiss"/>
    <w:pitch w:val="default"/>
    <w:sig w:usb0="E0002AFF" w:usb1="C0007843" w:usb2="00000009" w:usb3="00000000" w:csb0="400001FF" w:csb1="FFFF0000"/>
    <w:embedRegular r:id="rId2" w:fontKey="{193999C4-8801-4AB1-8EFA-5F024B6645E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E32B790A-A823-4B6D-91D1-357E2F152CEB}"/>
  </w:font>
  <w:font w:name="Symbol">
    <w:panose1 w:val="05050102010706020507"/>
    <w:charset w:val="02"/>
    <w:family w:val="roman"/>
    <w:pitch w:val="default"/>
    <w:sig w:usb0="00000000" w:usb1="00000000" w:usb2="00000000" w:usb3="00000000" w:csb0="80000000" w:csb1="00000000"/>
    <w:embedRegular r:id="rId4" w:fontKey="{F7450DF2-4609-4805-83F4-3C48C28CA86B}"/>
  </w:font>
  <w:font w:name="Calibri">
    <w:panose1 w:val="020F0502020204030204"/>
    <w:charset w:val="00"/>
    <w:family w:val="swiss"/>
    <w:pitch w:val="default"/>
    <w:sig w:usb0="E00002FF" w:usb1="4000ACFF" w:usb2="00000001" w:usb3="00000000" w:csb0="2000019F" w:csb1="00000000"/>
    <w:embedRegular r:id="rId5" w:fontKey="{A1917087-E1EE-4F76-AF00-0C1121B9B17F}"/>
  </w:font>
  <w:font w:name="方正黑体_GBK">
    <w:panose1 w:val="03000509000000000000"/>
    <w:charset w:val="86"/>
    <w:family w:val="script"/>
    <w:pitch w:val="default"/>
    <w:sig w:usb0="00000001" w:usb1="080E0000" w:usb2="00000000" w:usb3="00000000" w:csb0="00040000" w:csb1="00000000"/>
    <w:embedRegular r:id="rId6" w:fontKey="{C067A015-B36A-482C-ADD1-DB9C9F59AB57}"/>
  </w:font>
  <w:font w:name="方正大标宋简体">
    <w:panose1 w:val="02010601030101010101"/>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7" w:fontKey="{360D571F-64FE-43AC-8EE2-BC988BA59FA2}"/>
  </w:font>
  <w:font w:name="方正小标宋_GBK">
    <w:panose1 w:val="03000509000000000000"/>
    <w:charset w:val="86"/>
    <w:family w:val="script"/>
    <w:pitch w:val="default"/>
    <w:sig w:usb0="00000001" w:usb1="080E0000" w:usb2="00000000" w:usb3="00000000" w:csb0="00040000" w:csb1="00000000"/>
    <w:embedRegular r:id="rId8" w:fontKey="{C164436D-D085-46BD-899E-A102FBC0F261}"/>
  </w:font>
  <w:font w:name="仿宋">
    <w:panose1 w:val="02010609060101010101"/>
    <w:charset w:val="86"/>
    <w:family w:val="modern"/>
    <w:pitch w:val="default"/>
    <w:sig w:usb0="800002BF" w:usb1="38CF7CFA" w:usb2="00000016" w:usb3="00000000" w:csb0="00040001" w:csb1="00000000"/>
    <w:embedRegular r:id="rId9" w:fontKey="{C7BC0618-13F1-47E9-9EE8-693610A32198}"/>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4295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429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58.5pt;mso-position-horizontal:outside;mso-position-horizontal-relative:margin;z-index:251659264;mso-width-relative:page;mso-height-relative:page;" filled="f" stroked="f" coordsize="21600,21600" o:gfxdata="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qFjgg0wAAAAUBAAAPAAAAAAAAAAEAIAAAACIAAABkcnMvZG93bnJldi54bWxQ&#10;SwECFAAUAAAACACHTuJAvnNThjUCAABiBAAADgAAAAAAAAABACAAAAAiAQAAZHJzL2Uyb0RvYy54&#10;bWxQSwUGAAAAAAYABgBZAQAAyQU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段儿">
    <w15:presenceInfo w15:providerId="WPS Office" w15:userId="13509073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trackRevisions w:val="1"/>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mmondata" w:val="eyJoZGlkIjoiNzc4YjNiNTllNjQ0ZTc1ZmNmNjc1Mjk1ZmFmMDJjZDMifQ=="/>
  </w:docVars>
  <w:rsids>
    <w:rsidRoot w:val="00172A27"/>
    <w:rsid w:val="00197A76"/>
    <w:rsid w:val="0022698E"/>
    <w:rsid w:val="002B9CC8"/>
    <w:rsid w:val="003C41F1"/>
    <w:rsid w:val="0067F8C8"/>
    <w:rsid w:val="008AB7D0"/>
    <w:rsid w:val="00C7DB2C"/>
    <w:rsid w:val="00DD84E1"/>
    <w:rsid w:val="010127A8"/>
    <w:rsid w:val="01369C55"/>
    <w:rsid w:val="013E4439"/>
    <w:rsid w:val="014AD871"/>
    <w:rsid w:val="01517D04"/>
    <w:rsid w:val="01A0A7DC"/>
    <w:rsid w:val="01B1F067"/>
    <w:rsid w:val="02337D1B"/>
    <w:rsid w:val="0246F043"/>
    <w:rsid w:val="0248B925"/>
    <w:rsid w:val="024CE9C5"/>
    <w:rsid w:val="0263626C"/>
    <w:rsid w:val="028307C5"/>
    <w:rsid w:val="02BD07C7"/>
    <w:rsid w:val="02CA72D1"/>
    <w:rsid w:val="02D74FF0"/>
    <w:rsid w:val="02D9AABA"/>
    <w:rsid w:val="02EE8877"/>
    <w:rsid w:val="03220846"/>
    <w:rsid w:val="0330D2F3"/>
    <w:rsid w:val="033248BD"/>
    <w:rsid w:val="03689DC2"/>
    <w:rsid w:val="03945C92"/>
    <w:rsid w:val="039CF758"/>
    <w:rsid w:val="03C1FDD3"/>
    <w:rsid w:val="03CB090E"/>
    <w:rsid w:val="03D5A2BB"/>
    <w:rsid w:val="03F4573E"/>
    <w:rsid w:val="0405DC0D"/>
    <w:rsid w:val="041C8619"/>
    <w:rsid w:val="041CFD98"/>
    <w:rsid w:val="04214EE0"/>
    <w:rsid w:val="0433E6B9"/>
    <w:rsid w:val="04602BAE"/>
    <w:rsid w:val="048C47AE"/>
    <w:rsid w:val="04B1FDBE"/>
    <w:rsid w:val="04C52634"/>
    <w:rsid w:val="051AEE46"/>
    <w:rsid w:val="054E96D1"/>
    <w:rsid w:val="058BE965"/>
    <w:rsid w:val="059F67A2"/>
    <w:rsid w:val="0625183F"/>
    <w:rsid w:val="0627EA33"/>
    <w:rsid w:val="0639CD0A"/>
    <w:rsid w:val="06520217"/>
    <w:rsid w:val="066BF0E9"/>
    <w:rsid w:val="068F3BB4"/>
    <w:rsid w:val="06E939EB"/>
    <w:rsid w:val="075640D2"/>
    <w:rsid w:val="0758F740"/>
    <w:rsid w:val="0774CEA7"/>
    <w:rsid w:val="079DD4D6"/>
    <w:rsid w:val="07C06BE1"/>
    <w:rsid w:val="07E43257"/>
    <w:rsid w:val="07E96D70"/>
    <w:rsid w:val="07F84B24"/>
    <w:rsid w:val="08545FD8"/>
    <w:rsid w:val="085AADBE"/>
    <w:rsid w:val="086B226A"/>
    <w:rsid w:val="08756680"/>
    <w:rsid w:val="089FDC2A"/>
    <w:rsid w:val="08AF25D1"/>
    <w:rsid w:val="08BFD774"/>
    <w:rsid w:val="08E111BC"/>
    <w:rsid w:val="08E36C80"/>
    <w:rsid w:val="091210E8"/>
    <w:rsid w:val="09193DC0"/>
    <w:rsid w:val="0969210A"/>
    <w:rsid w:val="098F550B"/>
    <w:rsid w:val="0995F46A"/>
    <w:rsid w:val="09ACF0FE"/>
    <w:rsid w:val="09B74657"/>
    <w:rsid w:val="09BAE02D"/>
    <w:rsid w:val="09F86FC3"/>
    <w:rsid w:val="09F8FEED"/>
    <w:rsid w:val="0A00DA73"/>
    <w:rsid w:val="0A13D971"/>
    <w:rsid w:val="0A2827FB"/>
    <w:rsid w:val="0A3B9852"/>
    <w:rsid w:val="0A43BE62"/>
    <w:rsid w:val="0A6040C9"/>
    <w:rsid w:val="0A68C724"/>
    <w:rsid w:val="0A85AA15"/>
    <w:rsid w:val="0B6878B5"/>
    <w:rsid w:val="0B6DD84F"/>
    <w:rsid w:val="0B867328"/>
    <w:rsid w:val="0B9E28CE"/>
    <w:rsid w:val="0BE467F4"/>
    <w:rsid w:val="0BEB3079"/>
    <w:rsid w:val="0BFCC5C9"/>
    <w:rsid w:val="0C0FF7AC"/>
    <w:rsid w:val="0C227B84"/>
    <w:rsid w:val="0C26618B"/>
    <w:rsid w:val="0CBBB5BF"/>
    <w:rsid w:val="0CC77521"/>
    <w:rsid w:val="0CD1A1A3"/>
    <w:rsid w:val="0D3866DE"/>
    <w:rsid w:val="0D3F7F23"/>
    <w:rsid w:val="0D609D9E"/>
    <w:rsid w:val="0D6FDDBA"/>
    <w:rsid w:val="0D868035"/>
    <w:rsid w:val="0D976244"/>
    <w:rsid w:val="0DA4AE9F"/>
    <w:rsid w:val="0DF5613A"/>
    <w:rsid w:val="0E0DCBAE"/>
    <w:rsid w:val="0E19385B"/>
    <w:rsid w:val="0E3D5C28"/>
    <w:rsid w:val="0E533694"/>
    <w:rsid w:val="0E683899"/>
    <w:rsid w:val="0E7A2650"/>
    <w:rsid w:val="0EA0DBD6"/>
    <w:rsid w:val="0EBC6CDA"/>
    <w:rsid w:val="0EC64212"/>
    <w:rsid w:val="0F1CB1D5"/>
    <w:rsid w:val="0F371EC4"/>
    <w:rsid w:val="0F53A30C"/>
    <w:rsid w:val="0F5AD675"/>
    <w:rsid w:val="0F87A992"/>
    <w:rsid w:val="0F987BE4"/>
    <w:rsid w:val="0FB73822"/>
    <w:rsid w:val="0FC370C1"/>
    <w:rsid w:val="1008121E"/>
    <w:rsid w:val="103FEB58"/>
    <w:rsid w:val="10411479"/>
    <w:rsid w:val="104FE5B4"/>
    <w:rsid w:val="108E1685"/>
    <w:rsid w:val="10FA091B"/>
    <w:rsid w:val="1106047A"/>
    <w:rsid w:val="11072EA4"/>
    <w:rsid w:val="114DC298"/>
    <w:rsid w:val="117C285B"/>
    <w:rsid w:val="11A4461F"/>
    <w:rsid w:val="11B95FE1"/>
    <w:rsid w:val="11BA62AF"/>
    <w:rsid w:val="11FF8D97"/>
    <w:rsid w:val="124959C7"/>
    <w:rsid w:val="12524792"/>
    <w:rsid w:val="125E6C06"/>
    <w:rsid w:val="1290A63B"/>
    <w:rsid w:val="12B6BA4E"/>
    <w:rsid w:val="12B76D17"/>
    <w:rsid w:val="12C871A7"/>
    <w:rsid w:val="12E55794"/>
    <w:rsid w:val="1308CEEE"/>
    <w:rsid w:val="13484309"/>
    <w:rsid w:val="1361EC80"/>
    <w:rsid w:val="136431CD"/>
    <w:rsid w:val="13A85841"/>
    <w:rsid w:val="13AEE028"/>
    <w:rsid w:val="13CEDAB0"/>
    <w:rsid w:val="13F397E7"/>
    <w:rsid w:val="140B0420"/>
    <w:rsid w:val="140D22CE"/>
    <w:rsid w:val="14383DF4"/>
    <w:rsid w:val="14510442"/>
    <w:rsid w:val="145D62A4"/>
    <w:rsid w:val="1498D04A"/>
    <w:rsid w:val="149FC4E5"/>
    <w:rsid w:val="14A3A038"/>
    <w:rsid w:val="14ABE65E"/>
    <w:rsid w:val="14D6055C"/>
    <w:rsid w:val="14DFAD58"/>
    <w:rsid w:val="150FC3DE"/>
    <w:rsid w:val="1515729F"/>
    <w:rsid w:val="152485E4"/>
    <w:rsid w:val="1526EC7B"/>
    <w:rsid w:val="15323A38"/>
    <w:rsid w:val="15551B57"/>
    <w:rsid w:val="15608319"/>
    <w:rsid w:val="1565887C"/>
    <w:rsid w:val="15CFDCF2"/>
    <w:rsid w:val="15DCB9C4"/>
    <w:rsid w:val="15F1A4C0"/>
    <w:rsid w:val="165BD850"/>
    <w:rsid w:val="1689A28A"/>
    <w:rsid w:val="16A9BA8C"/>
    <w:rsid w:val="16D34816"/>
    <w:rsid w:val="16F12BA5"/>
    <w:rsid w:val="16F46261"/>
    <w:rsid w:val="1771C47A"/>
    <w:rsid w:val="17834117"/>
    <w:rsid w:val="17A47B5A"/>
    <w:rsid w:val="17AF9680"/>
    <w:rsid w:val="17C25F60"/>
    <w:rsid w:val="17EE6DD3"/>
    <w:rsid w:val="1811CCF6"/>
    <w:rsid w:val="1823CE42"/>
    <w:rsid w:val="1831379B"/>
    <w:rsid w:val="18874621"/>
    <w:rsid w:val="19052A87"/>
    <w:rsid w:val="191202E0"/>
    <w:rsid w:val="192673DA"/>
    <w:rsid w:val="199A7258"/>
    <w:rsid w:val="199B73AA"/>
    <w:rsid w:val="19A7C930"/>
    <w:rsid w:val="19B38A24"/>
    <w:rsid w:val="19EC8A17"/>
    <w:rsid w:val="1A20788B"/>
    <w:rsid w:val="1A60774F"/>
    <w:rsid w:val="1A6AB648"/>
    <w:rsid w:val="1A9C36E0"/>
    <w:rsid w:val="1A9C4901"/>
    <w:rsid w:val="1ABE30AA"/>
    <w:rsid w:val="1B140E5E"/>
    <w:rsid w:val="1B1B1388"/>
    <w:rsid w:val="1B5446F7"/>
    <w:rsid w:val="1B5ABB62"/>
    <w:rsid w:val="1B6FF3AD"/>
    <w:rsid w:val="1B7A59FF"/>
    <w:rsid w:val="1B9C5D94"/>
    <w:rsid w:val="1B9D8D58"/>
    <w:rsid w:val="1BABACFB"/>
    <w:rsid w:val="1BAC98DB"/>
    <w:rsid w:val="1BF6AAB2"/>
    <w:rsid w:val="1BFC247B"/>
    <w:rsid w:val="1C19FDB7"/>
    <w:rsid w:val="1C24D43B"/>
    <w:rsid w:val="1C29205C"/>
    <w:rsid w:val="1C50252A"/>
    <w:rsid w:val="1C511986"/>
    <w:rsid w:val="1C5CCC1F"/>
    <w:rsid w:val="1C6DBAD0"/>
    <w:rsid w:val="1C8660AB"/>
    <w:rsid w:val="1C8A1158"/>
    <w:rsid w:val="1CA1B082"/>
    <w:rsid w:val="1CEA3DA4"/>
    <w:rsid w:val="1CF95664"/>
    <w:rsid w:val="1D0A34A5"/>
    <w:rsid w:val="1D2DCA58"/>
    <w:rsid w:val="1D6867FA"/>
    <w:rsid w:val="1D68DA6D"/>
    <w:rsid w:val="1D7381FA"/>
    <w:rsid w:val="1D839126"/>
    <w:rsid w:val="1D9386D8"/>
    <w:rsid w:val="1D944699"/>
    <w:rsid w:val="1DAE0C7B"/>
    <w:rsid w:val="1DC340E8"/>
    <w:rsid w:val="1DC8BEF2"/>
    <w:rsid w:val="1DD40EBD"/>
    <w:rsid w:val="1E163529"/>
    <w:rsid w:val="1E1CFBC0"/>
    <w:rsid w:val="1E24111F"/>
    <w:rsid w:val="1E2D531F"/>
    <w:rsid w:val="1E351E67"/>
    <w:rsid w:val="1E4F385B"/>
    <w:rsid w:val="1E6335D6"/>
    <w:rsid w:val="1E707889"/>
    <w:rsid w:val="1F23DEB0"/>
    <w:rsid w:val="1F302DD9"/>
    <w:rsid w:val="1F36B220"/>
    <w:rsid w:val="1F3A5582"/>
    <w:rsid w:val="1F501429"/>
    <w:rsid w:val="1F58CACD"/>
    <w:rsid w:val="1FB2CF65"/>
    <w:rsid w:val="1FB6807D"/>
    <w:rsid w:val="1FC64E80"/>
    <w:rsid w:val="1FD0786B"/>
    <w:rsid w:val="1FF60988"/>
    <w:rsid w:val="20108ADB"/>
    <w:rsid w:val="2020F3EA"/>
    <w:rsid w:val="2023E72E"/>
    <w:rsid w:val="202ECEF9"/>
    <w:rsid w:val="203C0A64"/>
    <w:rsid w:val="203D1AC1"/>
    <w:rsid w:val="207144EE"/>
    <w:rsid w:val="2095BCB4"/>
    <w:rsid w:val="20C8C5E3"/>
    <w:rsid w:val="20D81ECB"/>
    <w:rsid w:val="2104546A"/>
    <w:rsid w:val="21364DAA"/>
    <w:rsid w:val="215EA0EE"/>
    <w:rsid w:val="21758820"/>
    <w:rsid w:val="21A1620A"/>
    <w:rsid w:val="21C27065"/>
    <w:rsid w:val="21E6332B"/>
    <w:rsid w:val="21E9997D"/>
    <w:rsid w:val="2204021E"/>
    <w:rsid w:val="221F869C"/>
    <w:rsid w:val="223383C2"/>
    <w:rsid w:val="22506370"/>
    <w:rsid w:val="22551FA8"/>
    <w:rsid w:val="22586CD9"/>
    <w:rsid w:val="225C67C4"/>
    <w:rsid w:val="225D91F5"/>
    <w:rsid w:val="225DF532"/>
    <w:rsid w:val="2294A579"/>
    <w:rsid w:val="22997D99"/>
    <w:rsid w:val="22A2AA8A"/>
    <w:rsid w:val="22A67269"/>
    <w:rsid w:val="22CE7C69"/>
    <w:rsid w:val="22FC09A5"/>
    <w:rsid w:val="2307DECD"/>
    <w:rsid w:val="232D8C59"/>
    <w:rsid w:val="2332B514"/>
    <w:rsid w:val="23343805"/>
    <w:rsid w:val="23631BD7"/>
    <w:rsid w:val="2383956C"/>
    <w:rsid w:val="238406C1"/>
    <w:rsid w:val="238D2EC0"/>
    <w:rsid w:val="23B3C8B1"/>
    <w:rsid w:val="23BF2D15"/>
    <w:rsid w:val="23F42D6E"/>
    <w:rsid w:val="23F70C39"/>
    <w:rsid w:val="243893A6"/>
    <w:rsid w:val="24820787"/>
    <w:rsid w:val="24B6C8F0"/>
    <w:rsid w:val="24CF52EC"/>
    <w:rsid w:val="25084715"/>
    <w:rsid w:val="252AE0BF"/>
    <w:rsid w:val="255B21D5"/>
    <w:rsid w:val="2571103B"/>
    <w:rsid w:val="2592B7BC"/>
    <w:rsid w:val="25A40A6B"/>
    <w:rsid w:val="25CF37DB"/>
    <w:rsid w:val="25DF81D8"/>
    <w:rsid w:val="25E3BA6A"/>
    <w:rsid w:val="261448BE"/>
    <w:rsid w:val="262D48DE"/>
    <w:rsid w:val="264438DC"/>
    <w:rsid w:val="2650C91A"/>
    <w:rsid w:val="2669E83F"/>
    <w:rsid w:val="267D2238"/>
    <w:rsid w:val="26C93DF6"/>
    <w:rsid w:val="272C8CA0"/>
    <w:rsid w:val="27428621"/>
    <w:rsid w:val="2768DF01"/>
    <w:rsid w:val="2778B535"/>
    <w:rsid w:val="2792DFBF"/>
    <w:rsid w:val="2796B7C6"/>
    <w:rsid w:val="27A5DA82"/>
    <w:rsid w:val="27A66631"/>
    <w:rsid w:val="27A9180A"/>
    <w:rsid w:val="27B4B764"/>
    <w:rsid w:val="27E23D91"/>
    <w:rsid w:val="27E35D60"/>
    <w:rsid w:val="281DA6F5"/>
    <w:rsid w:val="283D52A3"/>
    <w:rsid w:val="286C06A4"/>
    <w:rsid w:val="288D95AC"/>
    <w:rsid w:val="28A5FC4B"/>
    <w:rsid w:val="28EC2872"/>
    <w:rsid w:val="28F4E2B6"/>
    <w:rsid w:val="28FBA8AE"/>
    <w:rsid w:val="29035092"/>
    <w:rsid w:val="2903F370"/>
    <w:rsid w:val="295E88E3"/>
    <w:rsid w:val="29880A0E"/>
    <w:rsid w:val="2999F29F"/>
    <w:rsid w:val="29A6875A"/>
    <w:rsid w:val="29B3052B"/>
    <w:rsid w:val="29C48DF5"/>
    <w:rsid w:val="29C8F77E"/>
    <w:rsid w:val="29DE0151"/>
    <w:rsid w:val="29F27CC6"/>
    <w:rsid w:val="29FF4C13"/>
    <w:rsid w:val="2A004C01"/>
    <w:rsid w:val="2A4699AD"/>
    <w:rsid w:val="2AD54F2F"/>
    <w:rsid w:val="2AE930CE"/>
    <w:rsid w:val="2AEA6CED"/>
    <w:rsid w:val="2AF77F29"/>
    <w:rsid w:val="2B16C070"/>
    <w:rsid w:val="2B214616"/>
    <w:rsid w:val="2B24CDC9"/>
    <w:rsid w:val="2B604830"/>
    <w:rsid w:val="2B6834EE"/>
    <w:rsid w:val="2B6A3C0C"/>
    <w:rsid w:val="2B93F510"/>
    <w:rsid w:val="2BA71F69"/>
    <w:rsid w:val="2C14D192"/>
    <w:rsid w:val="2C27FFEF"/>
    <w:rsid w:val="2C4802E3"/>
    <w:rsid w:val="2C5C1BBF"/>
    <w:rsid w:val="2C6C6444"/>
    <w:rsid w:val="2C7320A9"/>
    <w:rsid w:val="2CA51BA6"/>
    <w:rsid w:val="2D1C9751"/>
    <w:rsid w:val="2D774A36"/>
    <w:rsid w:val="2D797268"/>
    <w:rsid w:val="2DE4118E"/>
    <w:rsid w:val="2DE5D51E"/>
    <w:rsid w:val="2DE829C0"/>
    <w:rsid w:val="2DEE52FF"/>
    <w:rsid w:val="2E05C944"/>
    <w:rsid w:val="2E4F43CE"/>
    <w:rsid w:val="2E575A3D"/>
    <w:rsid w:val="2E83611B"/>
    <w:rsid w:val="2E88F6E2"/>
    <w:rsid w:val="2E996E6F"/>
    <w:rsid w:val="2EA0E2D9"/>
    <w:rsid w:val="2EA827D5"/>
    <w:rsid w:val="2EB34280"/>
    <w:rsid w:val="2EC74673"/>
    <w:rsid w:val="2ED8FB28"/>
    <w:rsid w:val="2EE7E1E4"/>
    <w:rsid w:val="2EEA3B3F"/>
    <w:rsid w:val="2EF0138D"/>
    <w:rsid w:val="2F001CE2"/>
    <w:rsid w:val="2F0A5AF6"/>
    <w:rsid w:val="2F0D6BEA"/>
    <w:rsid w:val="2F24F810"/>
    <w:rsid w:val="2F27E925"/>
    <w:rsid w:val="2F62B66F"/>
    <w:rsid w:val="2F69FF73"/>
    <w:rsid w:val="2F6C2A21"/>
    <w:rsid w:val="2F821B0C"/>
    <w:rsid w:val="2FA27F68"/>
    <w:rsid w:val="2FA5186E"/>
    <w:rsid w:val="2FBB4081"/>
    <w:rsid w:val="2FFCB01D"/>
    <w:rsid w:val="30122062"/>
    <w:rsid w:val="3053275B"/>
    <w:rsid w:val="30754D30"/>
    <w:rsid w:val="30773A95"/>
    <w:rsid w:val="309932FB"/>
    <w:rsid w:val="30A9F3E4"/>
    <w:rsid w:val="30C85E96"/>
    <w:rsid w:val="30E6B362"/>
    <w:rsid w:val="30E7C711"/>
    <w:rsid w:val="310D6CC9"/>
    <w:rsid w:val="310EC6D5"/>
    <w:rsid w:val="3154BBF8"/>
    <w:rsid w:val="3169BB28"/>
    <w:rsid w:val="31922EDE"/>
    <w:rsid w:val="31A0B554"/>
    <w:rsid w:val="31B88E92"/>
    <w:rsid w:val="323EEEA8"/>
    <w:rsid w:val="326AE052"/>
    <w:rsid w:val="326FBF85"/>
    <w:rsid w:val="329663A5"/>
    <w:rsid w:val="32F9A753"/>
    <w:rsid w:val="3300CD38"/>
    <w:rsid w:val="3330532F"/>
    <w:rsid w:val="33400F58"/>
    <w:rsid w:val="33532B23"/>
    <w:rsid w:val="33837281"/>
    <w:rsid w:val="3386D5D2"/>
    <w:rsid w:val="339E1C0B"/>
    <w:rsid w:val="33EF96E0"/>
    <w:rsid w:val="3421A452"/>
    <w:rsid w:val="344B2332"/>
    <w:rsid w:val="346CD306"/>
    <w:rsid w:val="346CD75F"/>
    <w:rsid w:val="348620D3"/>
    <w:rsid w:val="34C0979E"/>
    <w:rsid w:val="34C1E8D9"/>
    <w:rsid w:val="350F7BF8"/>
    <w:rsid w:val="352E16E1"/>
    <w:rsid w:val="355600B7"/>
    <w:rsid w:val="35716616"/>
    <w:rsid w:val="35849F26"/>
    <w:rsid w:val="3598F59A"/>
    <w:rsid w:val="35E4C3E5"/>
    <w:rsid w:val="35EA3811"/>
    <w:rsid w:val="360531E8"/>
    <w:rsid w:val="361471BF"/>
    <w:rsid w:val="362EA885"/>
    <w:rsid w:val="364C05DB"/>
    <w:rsid w:val="36515775"/>
    <w:rsid w:val="3669CCFF"/>
    <w:rsid w:val="367555CC"/>
    <w:rsid w:val="368CD81D"/>
    <w:rsid w:val="36B291C4"/>
    <w:rsid w:val="36E0932E"/>
    <w:rsid w:val="37179628"/>
    <w:rsid w:val="37181F7A"/>
    <w:rsid w:val="372D9786"/>
    <w:rsid w:val="373E7258"/>
    <w:rsid w:val="374B34A5"/>
    <w:rsid w:val="3761FF8A"/>
    <w:rsid w:val="37AFFA0E"/>
    <w:rsid w:val="37C7374B"/>
    <w:rsid w:val="37ECC841"/>
    <w:rsid w:val="37F3C169"/>
    <w:rsid w:val="382200E8"/>
    <w:rsid w:val="38321BB2"/>
    <w:rsid w:val="38599628"/>
    <w:rsid w:val="385F60A8"/>
    <w:rsid w:val="386222CD"/>
    <w:rsid w:val="3864BEA8"/>
    <w:rsid w:val="38809868"/>
    <w:rsid w:val="388EDABE"/>
    <w:rsid w:val="38A658D1"/>
    <w:rsid w:val="38BA5BD0"/>
    <w:rsid w:val="38E94BF7"/>
    <w:rsid w:val="38FB3EF9"/>
    <w:rsid w:val="392141EA"/>
    <w:rsid w:val="3932B913"/>
    <w:rsid w:val="393750F2"/>
    <w:rsid w:val="396DD6D5"/>
    <w:rsid w:val="397547DC"/>
    <w:rsid w:val="398AD0BD"/>
    <w:rsid w:val="399A20CD"/>
    <w:rsid w:val="399B93ED"/>
    <w:rsid w:val="399F8600"/>
    <w:rsid w:val="39D296DF"/>
    <w:rsid w:val="39E21B6F"/>
    <w:rsid w:val="39EBD2FF"/>
    <w:rsid w:val="39FD9558"/>
    <w:rsid w:val="3A07AED8"/>
    <w:rsid w:val="3A0CC6FA"/>
    <w:rsid w:val="3A159E87"/>
    <w:rsid w:val="3A2C712C"/>
    <w:rsid w:val="3A2D27BE"/>
    <w:rsid w:val="3A451E40"/>
    <w:rsid w:val="3A68ED02"/>
    <w:rsid w:val="3A783362"/>
    <w:rsid w:val="3A817D01"/>
    <w:rsid w:val="3AECA917"/>
    <w:rsid w:val="3AFC9655"/>
    <w:rsid w:val="3B008D2C"/>
    <w:rsid w:val="3B26B28B"/>
    <w:rsid w:val="3B32CD61"/>
    <w:rsid w:val="3B3B7318"/>
    <w:rsid w:val="3B71C865"/>
    <w:rsid w:val="3B909045"/>
    <w:rsid w:val="3B97D96D"/>
    <w:rsid w:val="3BD00DC6"/>
    <w:rsid w:val="3BDAF05E"/>
    <w:rsid w:val="3BDD6834"/>
    <w:rsid w:val="3C0C2E8E"/>
    <w:rsid w:val="3C16B0E2"/>
    <w:rsid w:val="3C239944"/>
    <w:rsid w:val="3C2407AB"/>
    <w:rsid w:val="3C3A24CD"/>
    <w:rsid w:val="3C57CC45"/>
    <w:rsid w:val="3C5A7053"/>
    <w:rsid w:val="3C6831C1"/>
    <w:rsid w:val="3C72F5FC"/>
    <w:rsid w:val="3C8ED918"/>
    <w:rsid w:val="3CF28DBA"/>
    <w:rsid w:val="3CF72FAE"/>
    <w:rsid w:val="3CF97783"/>
    <w:rsid w:val="3D1A711B"/>
    <w:rsid w:val="3D3C2231"/>
    <w:rsid w:val="3D52C5B9"/>
    <w:rsid w:val="3D811B3B"/>
    <w:rsid w:val="3D9EE677"/>
    <w:rsid w:val="3DD9ED9E"/>
    <w:rsid w:val="3E214EB7"/>
    <w:rsid w:val="3E74AB64"/>
    <w:rsid w:val="3E896A62"/>
    <w:rsid w:val="3E8B7DC8"/>
    <w:rsid w:val="3E96EAEE"/>
    <w:rsid w:val="3F00A135"/>
    <w:rsid w:val="3F024126"/>
    <w:rsid w:val="3F296674"/>
    <w:rsid w:val="3F5F1FEB"/>
    <w:rsid w:val="3F6571A8"/>
    <w:rsid w:val="3F69C7DC"/>
    <w:rsid w:val="3F719F77"/>
    <w:rsid w:val="4022D927"/>
    <w:rsid w:val="402B9714"/>
    <w:rsid w:val="40382F95"/>
    <w:rsid w:val="403F93BB"/>
    <w:rsid w:val="40480CD0"/>
    <w:rsid w:val="404AB488"/>
    <w:rsid w:val="4064D025"/>
    <w:rsid w:val="4094B872"/>
    <w:rsid w:val="40E8C69C"/>
    <w:rsid w:val="40FDF95A"/>
    <w:rsid w:val="40FFE9FA"/>
    <w:rsid w:val="413E8E57"/>
    <w:rsid w:val="415A7B20"/>
    <w:rsid w:val="41664F90"/>
    <w:rsid w:val="4192DBD8"/>
    <w:rsid w:val="4192ECE4"/>
    <w:rsid w:val="41B0B365"/>
    <w:rsid w:val="41BA1ACD"/>
    <w:rsid w:val="41D1767C"/>
    <w:rsid w:val="41E8486C"/>
    <w:rsid w:val="41ED2C40"/>
    <w:rsid w:val="41F984BD"/>
    <w:rsid w:val="41FBC943"/>
    <w:rsid w:val="4222B896"/>
    <w:rsid w:val="4231EC2C"/>
    <w:rsid w:val="42418E4F"/>
    <w:rsid w:val="42447CA4"/>
    <w:rsid w:val="4255EDBF"/>
    <w:rsid w:val="426C6AF6"/>
    <w:rsid w:val="4280BA92"/>
    <w:rsid w:val="4285BF6F"/>
    <w:rsid w:val="42946239"/>
    <w:rsid w:val="43129D35"/>
    <w:rsid w:val="431A9852"/>
    <w:rsid w:val="432650D2"/>
    <w:rsid w:val="4346A606"/>
    <w:rsid w:val="43713B61"/>
    <w:rsid w:val="43751F85"/>
    <w:rsid w:val="437653EE"/>
    <w:rsid w:val="43916E0A"/>
    <w:rsid w:val="439C79D4"/>
    <w:rsid w:val="439DC1BD"/>
    <w:rsid w:val="43A16599"/>
    <w:rsid w:val="43ABCC90"/>
    <w:rsid w:val="43B564E9"/>
    <w:rsid w:val="43CAA751"/>
    <w:rsid w:val="43DDC8CB"/>
    <w:rsid w:val="4403D130"/>
    <w:rsid w:val="44091B11"/>
    <w:rsid w:val="4414EF12"/>
    <w:rsid w:val="4459898F"/>
    <w:rsid w:val="44780DBA"/>
    <w:rsid w:val="449CB007"/>
    <w:rsid w:val="44B4198F"/>
    <w:rsid w:val="44C7356D"/>
    <w:rsid w:val="44E8687A"/>
    <w:rsid w:val="45332967"/>
    <w:rsid w:val="45414F68"/>
    <w:rsid w:val="45556F04"/>
    <w:rsid w:val="4558AD78"/>
    <w:rsid w:val="4573B4E4"/>
    <w:rsid w:val="458FC623"/>
    <w:rsid w:val="4593B5DD"/>
    <w:rsid w:val="459B9C5E"/>
    <w:rsid w:val="45BC3104"/>
    <w:rsid w:val="46071E83"/>
    <w:rsid w:val="463392B8"/>
    <w:rsid w:val="465ADB77"/>
    <w:rsid w:val="467D762B"/>
    <w:rsid w:val="469D5852"/>
    <w:rsid w:val="46C04D01"/>
    <w:rsid w:val="46C37A49"/>
    <w:rsid w:val="46E103E7"/>
    <w:rsid w:val="470EB5FA"/>
    <w:rsid w:val="47150969"/>
    <w:rsid w:val="4772FFF0"/>
    <w:rsid w:val="479C2D04"/>
    <w:rsid w:val="479F1622"/>
    <w:rsid w:val="47DE2476"/>
    <w:rsid w:val="48232121"/>
    <w:rsid w:val="485EC182"/>
    <w:rsid w:val="489CA4BE"/>
    <w:rsid w:val="489DF871"/>
    <w:rsid w:val="48C59CB6"/>
    <w:rsid w:val="48D136CE"/>
    <w:rsid w:val="48E4B114"/>
    <w:rsid w:val="48EB1BC5"/>
    <w:rsid w:val="49076725"/>
    <w:rsid w:val="490EB4A7"/>
    <w:rsid w:val="490F1B0A"/>
    <w:rsid w:val="49244C68"/>
    <w:rsid w:val="4935AB84"/>
    <w:rsid w:val="49395DE3"/>
    <w:rsid w:val="497A9D38"/>
    <w:rsid w:val="49C9FECC"/>
    <w:rsid w:val="49CD3400"/>
    <w:rsid w:val="49E6AEF2"/>
    <w:rsid w:val="4A0956F5"/>
    <w:rsid w:val="4A0D1FD3"/>
    <w:rsid w:val="4A36FC30"/>
    <w:rsid w:val="4A71EE1C"/>
    <w:rsid w:val="4AD25E9D"/>
    <w:rsid w:val="4AEE40FA"/>
    <w:rsid w:val="4B527E1B"/>
    <w:rsid w:val="4B95E155"/>
    <w:rsid w:val="4BBA7147"/>
    <w:rsid w:val="4BC6740A"/>
    <w:rsid w:val="4BD60BB8"/>
    <w:rsid w:val="4BE2CE6C"/>
    <w:rsid w:val="4BF756AA"/>
    <w:rsid w:val="4C11816E"/>
    <w:rsid w:val="4C460266"/>
    <w:rsid w:val="4C6884FE"/>
    <w:rsid w:val="4CCA0488"/>
    <w:rsid w:val="4CCC120E"/>
    <w:rsid w:val="4D038912"/>
    <w:rsid w:val="4D7F7A38"/>
    <w:rsid w:val="4D988B58"/>
    <w:rsid w:val="4DAB18F5"/>
    <w:rsid w:val="4DAB5A98"/>
    <w:rsid w:val="4DB71668"/>
    <w:rsid w:val="4DC89063"/>
    <w:rsid w:val="4DCBB534"/>
    <w:rsid w:val="4DE16CEB"/>
    <w:rsid w:val="4DED9E53"/>
    <w:rsid w:val="4DFC78C3"/>
    <w:rsid w:val="4DFEBF91"/>
    <w:rsid w:val="4E0C10F1"/>
    <w:rsid w:val="4E428AD7"/>
    <w:rsid w:val="4E8EA02C"/>
    <w:rsid w:val="4ED047B5"/>
    <w:rsid w:val="4EF1E089"/>
    <w:rsid w:val="4F009A47"/>
    <w:rsid w:val="4FC4442F"/>
    <w:rsid w:val="4FDB54E7"/>
    <w:rsid w:val="5018B1B6"/>
    <w:rsid w:val="50331CFE"/>
    <w:rsid w:val="5034D33F"/>
    <w:rsid w:val="5066EB0E"/>
    <w:rsid w:val="50863B38"/>
    <w:rsid w:val="50A19BA1"/>
    <w:rsid w:val="50B3E689"/>
    <w:rsid w:val="50E7DB97"/>
    <w:rsid w:val="5107BD99"/>
    <w:rsid w:val="5129DF58"/>
    <w:rsid w:val="515728A5"/>
    <w:rsid w:val="515AB2D5"/>
    <w:rsid w:val="516DB5FF"/>
    <w:rsid w:val="516F80C4"/>
    <w:rsid w:val="518A295D"/>
    <w:rsid w:val="51A3889A"/>
    <w:rsid w:val="51A5BAA4"/>
    <w:rsid w:val="51B40515"/>
    <w:rsid w:val="51B69BD3"/>
    <w:rsid w:val="51D890AD"/>
    <w:rsid w:val="520082A2"/>
    <w:rsid w:val="5206E506"/>
    <w:rsid w:val="523720B6"/>
    <w:rsid w:val="5247A90D"/>
    <w:rsid w:val="5250333E"/>
    <w:rsid w:val="52AAF827"/>
    <w:rsid w:val="52B9E41E"/>
    <w:rsid w:val="52E1AED7"/>
    <w:rsid w:val="52E3C41B"/>
    <w:rsid w:val="52F34A48"/>
    <w:rsid w:val="533E2919"/>
    <w:rsid w:val="534F9FB2"/>
    <w:rsid w:val="53503431"/>
    <w:rsid w:val="535573AB"/>
    <w:rsid w:val="535575EC"/>
    <w:rsid w:val="536EE71A"/>
    <w:rsid w:val="539F9C5F"/>
    <w:rsid w:val="53CE392D"/>
    <w:rsid w:val="53D195B2"/>
    <w:rsid w:val="53D2ECD5"/>
    <w:rsid w:val="53E81F6A"/>
    <w:rsid w:val="5444376A"/>
    <w:rsid w:val="546114AE"/>
    <w:rsid w:val="54662ED0"/>
    <w:rsid w:val="54796E30"/>
    <w:rsid w:val="547A9027"/>
    <w:rsid w:val="5498911D"/>
    <w:rsid w:val="54EDA89A"/>
    <w:rsid w:val="55119C06"/>
    <w:rsid w:val="551D558A"/>
    <w:rsid w:val="5526220E"/>
    <w:rsid w:val="5593869D"/>
    <w:rsid w:val="55A92DE0"/>
    <w:rsid w:val="5613C2B2"/>
    <w:rsid w:val="5613F2B5"/>
    <w:rsid w:val="5661F4F3"/>
    <w:rsid w:val="56F24C4E"/>
    <w:rsid w:val="570A3383"/>
    <w:rsid w:val="57131C09"/>
    <w:rsid w:val="57189FF4"/>
    <w:rsid w:val="571F105A"/>
    <w:rsid w:val="5720DE58"/>
    <w:rsid w:val="573530B4"/>
    <w:rsid w:val="5767DCAC"/>
    <w:rsid w:val="57790720"/>
    <w:rsid w:val="579C998D"/>
    <w:rsid w:val="57BD61B1"/>
    <w:rsid w:val="57F97035"/>
    <w:rsid w:val="582C5BBE"/>
    <w:rsid w:val="583ADD3D"/>
    <w:rsid w:val="5847C28A"/>
    <w:rsid w:val="586AEF84"/>
    <w:rsid w:val="587668C3"/>
    <w:rsid w:val="589EA5BF"/>
    <w:rsid w:val="58DAFAA7"/>
    <w:rsid w:val="58DE5DD4"/>
    <w:rsid w:val="58F905A7"/>
    <w:rsid w:val="590DD077"/>
    <w:rsid w:val="5915EFC6"/>
    <w:rsid w:val="59199FF1"/>
    <w:rsid w:val="591F8E6B"/>
    <w:rsid w:val="59882A4C"/>
    <w:rsid w:val="59A9F9E4"/>
    <w:rsid w:val="59D3FCB8"/>
    <w:rsid w:val="59EDE231"/>
    <w:rsid w:val="5A14A7F6"/>
    <w:rsid w:val="5A22B533"/>
    <w:rsid w:val="5ADD134C"/>
    <w:rsid w:val="5B08F326"/>
    <w:rsid w:val="5B0D9C14"/>
    <w:rsid w:val="5B0E26DC"/>
    <w:rsid w:val="5B26BA11"/>
    <w:rsid w:val="5B2F8F27"/>
    <w:rsid w:val="5B342257"/>
    <w:rsid w:val="5B3CEDBF"/>
    <w:rsid w:val="5B5B8B6A"/>
    <w:rsid w:val="5B67BD62"/>
    <w:rsid w:val="5B806011"/>
    <w:rsid w:val="5B98C9A9"/>
    <w:rsid w:val="5BCEEC48"/>
    <w:rsid w:val="5BD79450"/>
    <w:rsid w:val="5C45DAD5"/>
    <w:rsid w:val="5C72FA5D"/>
    <w:rsid w:val="5C81704C"/>
    <w:rsid w:val="5CC1D7B7"/>
    <w:rsid w:val="5D06856F"/>
    <w:rsid w:val="5D2A8A15"/>
    <w:rsid w:val="5D398FB8"/>
    <w:rsid w:val="5D583739"/>
    <w:rsid w:val="5D6FEAB8"/>
    <w:rsid w:val="5D789E66"/>
    <w:rsid w:val="5D881EFD"/>
    <w:rsid w:val="5DA233D3"/>
    <w:rsid w:val="5DB29FA4"/>
    <w:rsid w:val="5DE3E39B"/>
    <w:rsid w:val="5DFEF3F0"/>
    <w:rsid w:val="5E05E822"/>
    <w:rsid w:val="5E0C7B39"/>
    <w:rsid w:val="5E111DD3"/>
    <w:rsid w:val="5E23BA86"/>
    <w:rsid w:val="5E2E6849"/>
    <w:rsid w:val="5E49DD1E"/>
    <w:rsid w:val="5E7184C3"/>
    <w:rsid w:val="5E7325EA"/>
    <w:rsid w:val="5E733E20"/>
    <w:rsid w:val="5EAFA7D3"/>
    <w:rsid w:val="5EB3C4D4"/>
    <w:rsid w:val="5EBC05AF"/>
    <w:rsid w:val="5EE959DB"/>
    <w:rsid w:val="5EF9CF99"/>
    <w:rsid w:val="5F0946FC"/>
    <w:rsid w:val="5F0DD211"/>
    <w:rsid w:val="5F661F7A"/>
    <w:rsid w:val="5F8FD52E"/>
    <w:rsid w:val="5FAB3B7F"/>
    <w:rsid w:val="5FB1CB16"/>
    <w:rsid w:val="5FB96844"/>
    <w:rsid w:val="5FC5E203"/>
    <w:rsid w:val="5FCA12DA"/>
    <w:rsid w:val="5FEAE5AC"/>
    <w:rsid w:val="5FF321A3"/>
    <w:rsid w:val="60145721"/>
    <w:rsid w:val="6036674A"/>
    <w:rsid w:val="60634C4F"/>
    <w:rsid w:val="606C000F"/>
    <w:rsid w:val="60A7545D"/>
    <w:rsid w:val="60B01DD7"/>
    <w:rsid w:val="60B77141"/>
    <w:rsid w:val="60D31C51"/>
    <w:rsid w:val="6107EE1B"/>
    <w:rsid w:val="610C11D6"/>
    <w:rsid w:val="612D6B6E"/>
    <w:rsid w:val="613AB9FB"/>
    <w:rsid w:val="6159F3C1"/>
    <w:rsid w:val="615C5297"/>
    <w:rsid w:val="61922FFA"/>
    <w:rsid w:val="61E9BEA1"/>
    <w:rsid w:val="61FD9981"/>
    <w:rsid w:val="6201607B"/>
    <w:rsid w:val="6208D1AA"/>
    <w:rsid w:val="6209D2FC"/>
    <w:rsid w:val="62571BAC"/>
    <w:rsid w:val="627C8534"/>
    <w:rsid w:val="62BB7D80"/>
    <w:rsid w:val="62F6BBA9"/>
    <w:rsid w:val="6300A7EE"/>
    <w:rsid w:val="630A8E13"/>
    <w:rsid w:val="630F5D4C"/>
    <w:rsid w:val="633F41A7"/>
    <w:rsid w:val="6359A2FB"/>
    <w:rsid w:val="635E35E5"/>
    <w:rsid w:val="63661203"/>
    <w:rsid w:val="639D013B"/>
    <w:rsid w:val="63A515CF"/>
    <w:rsid w:val="63A607C4"/>
    <w:rsid w:val="63D086D0"/>
    <w:rsid w:val="63DA4B32"/>
    <w:rsid w:val="63F3041F"/>
    <w:rsid w:val="64054DB1"/>
    <w:rsid w:val="641755E1"/>
    <w:rsid w:val="642E0D49"/>
    <w:rsid w:val="643AB42D"/>
    <w:rsid w:val="64775139"/>
    <w:rsid w:val="648A7EA9"/>
    <w:rsid w:val="6492B9A6"/>
    <w:rsid w:val="64E4E456"/>
    <w:rsid w:val="64F26496"/>
    <w:rsid w:val="6502ABA6"/>
    <w:rsid w:val="651886FC"/>
    <w:rsid w:val="655737D5"/>
    <w:rsid w:val="65A7060F"/>
    <w:rsid w:val="664CF9E6"/>
    <w:rsid w:val="66692FAA"/>
    <w:rsid w:val="66728B0D"/>
    <w:rsid w:val="66780F8A"/>
    <w:rsid w:val="6690D7BF"/>
    <w:rsid w:val="66C888BA"/>
    <w:rsid w:val="66D93D4B"/>
    <w:rsid w:val="66E4D53A"/>
    <w:rsid w:val="670159A4"/>
    <w:rsid w:val="671EF026"/>
    <w:rsid w:val="672ABE33"/>
    <w:rsid w:val="673F585A"/>
    <w:rsid w:val="6760520C"/>
    <w:rsid w:val="679819E4"/>
    <w:rsid w:val="679B4CBE"/>
    <w:rsid w:val="67C03008"/>
    <w:rsid w:val="67C9D6BA"/>
    <w:rsid w:val="67E6718B"/>
    <w:rsid w:val="67EED1BC"/>
    <w:rsid w:val="67FB1991"/>
    <w:rsid w:val="680F647E"/>
    <w:rsid w:val="683A6B8B"/>
    <w:rsid w:val="683C2DA3"/>
    <w:rsid w:val="688D71D8"/>
    <w:rsid w:val="6894F775"/>
    <w:rsid w:val="6895267C"/>
    <w:rsid w:val="68970B0B"/>
    <w:rsid w:val="68E47829"/>
    <w:rsid w:val="68F044AE"/>
    <w:rsid w:val="692A8E2A"/>
    <w:rsid w:val="693197AF"/>
    <w:rsid w:val="694831AD"/>
    <w:rsid w:val="69488A08"/>
    <w:rsid w:val="694D8C0D"/>
    <w:rsid w:val="696F20E3"/>
    <w:rsid w:val="696FBBE6"/>
    <w:rsid w:val="69AF0C05"/>
    <w:rsid w:val="69CB6671"/>
    <w:rsid w:val="69D48AB7"/>
    <w:rsid w:val="6A25FB65"/>
    <w:rsid w:val="6A4E2DCA"/>
    <w:rsid w:val="6A866FD6"/>
    <w:rsid w:val="6A8B14E6"/>
    <w:rsid w:val="6AB35A16"/>
    <w:rsid w:val="6ABE5EB5"/>
    <w:rsid w:val="6ADD7E86"/>
    <w:rsid w:val="6ADDF367"/>
    <w:rsid w:val="6AEA68DF"/>
    <w:rsid w:val="6B2AFD84"/>
    <w:rsid w:val="6B3609A2"/>
    <w:rsid w:val="6B502639"/>
    <w:rsid w:val="6B86398A"/>
    <w:rsid w:val="6BAA9B3A"/>
    <w:rsid w:val="6BD4C4CF"/>
    <w:rsid w:val="6C0869F0"/>
    <w:rsid w:val="6C273261"/>
    <w:rsid w:val="6C2C07F2"/>
    <w:rsid w:val="6C2E685E"/>
    <w:rsid w:val="6C3DA8E1"/>
    <w:rsid w:val="6C424379"/>
    <w:rsid w:val="6CAD8FA9"/>
    <w:rsid w:val="6CCAFBC5"/>
    <w:rsid w:val="6CE04C09"/>
    <w:rsid w:val="6D0B76F5"/>
    <w:rsid w:val="6D1A77F6"/>
    <w:rsid w:val="6D21F371"/>
    <w:rsid w:val="6D293FDC"/>
    <w:rsid w:val="6D37F922"/>
    <w:rsid w:val="6DD536BE"/>
    <w:rsid w:val="6DDF5B5C"/>
    <w:rsid w:val="6E3F499A"/>
    <w:rsid w:val="6E4749E1"/>
    <w:rsid w:val="6E92B48B"/>
    <w:rsid w:val="6E9C7AAC"/>
    <w:rsid w:val="6F06A748"/>
    <w:rsid w:val="6F1994C2"/>
    <w:rsid w:val="6F638417"/>
    <w:rsid w:val="6F71D2DB"/>
    <w:rsid w:val="6FA42751"/>
    <w:rsid w:val="6FB67779"/>
    <w:rsid w:val="6FECAB57"/>
    <w:rsid w:val="70248F47"/>
    <w:rsid w:val="702D57DF"/>
    <w:rsid w:val="70476CE1"/>
    <w:rsid w:val="70514EC8"/>
    <w:rsid w:val="706E9A62"/>
    <w:rsid w:val="70B2D6D8"/>
    <w:rsid w:val="70C59E02"/>
    <w:rsid w:val="70C81CA6"/>
    <w:rsid w:val="711784D4"/>
    <w:rsid w:val="715A86A3"/>
    <w:rsid w:val="715D14FB"/>
    <w:rsid w:val="716D6F4A"/>
    <w:rsid w:val="7171D37C"/>
    <w:rsid w:val="718BA45E"/>
    <w:rsid w:val="71B5A275"/>
    <w:rsid w:val="71D43B7F"/>
    <w:rsid w:val="71F7A82C"/>
    <w:rsid w:val="71F867B8"/>
    <w:rsid w:val="720D1606"/>
    <w:rsid w:val="72558164"/>
    <w:rsid w:val="7298FC11"/>
    <w:rsid w:val="72A3FBAC"/>
    <w:rsid w:val="731346C5"/>
    <w:rsid w:val="7329A29E"/>
    <w:rsid w:val="7342869B"/>
    <w:rsid w:val="73829119"/>
    <w:rsid w:val="73D54BB9"/>
    <w:rsid w:val="740063EC"/>
    <w:rsid w:val="740765C0"/>
    <w:rsid w:val="749E06AC"/>
    <w:rsid w:val="74DB3B70"/>
    <w:rsid w:val="74EEB22F"/>
    <w:rsid w:val="74FFEF37"/>
    <w:rsid w:val="751B9E7F"/>
    <w:rsid w:val="753CACE7"/>
    <w:rsid w:val="7559C5CF"/>
    <w:rsid w:val="755B7A67"/>
    <w:rsid w:val="7566EF1D"/>
    <w:rsid w:val="75BA4311"/>
    <w:rsid w:val="75E689D2"/>
    <w:rsid w:val="75F0C4C2"/>
    <w:rsid w:val="7621C45D"/>
    <w:rsid w:val="76448711"/>
    <w:rsid w:val="76502F55"/>
    <w:rsid w:val="765E66F6"/>
    <w:rsid w:val="768F9D40"/>
    <w:rsid w:val="76A776FC"/>
    <w:rsid w:val="77555981"/>
    <w:rsid w:val="777028C2"/>
    <w:rsid w:val="777B7EBD"/>
    <w:rsid w:val="77B4443D"/>
    <w:rsid w:val="77CDE964"/>
    <w:rsid w:val="77DC2C06"/>
    <w:rsid w:val="77EF3B89"/>
    <w:rsid w:val="781918EB"/>
    <w:rsid w:val="7853ACD1"/>
    <w:rsid w:val="78B35041"/>
    <w:rsid w:val="78C2D2CF"/>
    <w:rsid w:val="78DCF631"/>
    <w:rsid w:val="78EDBF55"/>
    <w:rsid w:val="78F69218"/>
    <w:rsid w:val="7929E606"/>
    <w:rsid w:val="794E271A"/>
    <w:rsid w:val="79589AA9"/>
    <w:rsid w:val="797782E9"/>
    <w:rsid w:val="79846415"/>
    <w:rsid w:val="79D49DB9"/>
    <w:rsid w:val="79DBA2A6"/>
    <w:rsid w:val="79E25D5C"/>
    <w:rsid w:val="79EC6C62"/>
    <w:rsid w:val="7A0E184C"/>
    <w:rsid w:val="7A2394F1"/>
    <w:rsid w:val="7A4D800C"/>
    <w:rsid w:val="7A94FD19"/>
    <w:rsid w:val="7AE19385"/>
    <w:rsid w:val="7B193383"/>
    <w:rsid w:val="7B4CD8F3"/>
    <w:rsid w:val="7B5875BA"/>
    <w:rsid w:val="7B5D6751"/>
    <w:rsid w:val="7B60C0C9"/>
    <w:rsid w:val="7B90125F"/>
    <w:rsid w:val="7BBE6017"/>
    <w:rsid w:val="7BD0547B"/>
    <w:rsid w:val="7BDEB8E0"/>
    <w:rsid w:val="7BFFF70C"/>
    <w:rsid w:val="7C115B3A"/>
    <w:rsid w:val="7C123E3F"/>
    <w:rsid w:val="7C20FF19"/>
    <w:rsid w:val="7C248C6D"/>
    <w:rsid w:val="7C770C87"/>
    <w:rsid w:val="7C7B11D2"/>
    <w:rsid w:val="7C7B95F0"/>
    <w:rsid w:val="7C7C9B16"/>
    <w:rsid w:val="7C83ADE9"/>
    <w:rsid w:val="7CB7397F"/>
    <w:rsid w:val="7CCE7922"/>
    <w:rsid w:val="7D07ECFE"/>
    <w:rsid w:val="7D1926B1"/>
    <w:rsid w:val="7D48DAB9"/>
    <w:rsid w:val="7D4DD44B"/>
    <w:rsid w:val="7D6FA7EF"/>
    <w:rsid w:val="7D7355C3"/>
    <w:rsid w:val="7D865406"/>
    <w:rsid w:val="7DA4B1B1"/>
    <w:rsid w:val="7DA9C6BA"/>
    <w:rsid w:val="7DB51B4B"/>
    <w:rsid w:val="7DCA556E"/>
    <w:rsid w:val="7DCF47DD"/>
    <w:rsid w:val="7DEC1767"/>
    <w:rsid w:val="7E180560"/>
    <w:rsid w:val="7E1D5D06"/>
    <w:rsid w:val="7E4E21E9"/>
    <w:rsid w:val="7E4FEE46"/>
    <w:rsid w:val="7E51217B"/>
    <w:rsid w:val="7E7521EB"/>
    <w:rsid w:val="7E7E00C9"/>
    <w:rsid w:val="7EA0BFE3"/>
    <w:rsid w:val="7EE363B1"/>
    <w:rsid w:val="7F1D6902"/>
    <w:rsid w:val="7F293C2C"/>
    <w:rsid w:val="7F3B5075"/>
    <w:rsid w:val="7F56E07B"/>
    <w:rsid w:val="7F6516FD"/>
    <w:rsid w:val="7F678F38"/>
    <w:rsid w:val="7F7D25CC"/>
    <w:rsid w:val="7FB8AB37"/>
    <w:rsid w:val="7FBF44A8"/>
    <w:rsid w:val="7FCCF99C"/>
    <w:rsid w:val="7FD6BA6F"/>
    <w:rsid w:val="800BDFF3"/>
    <w:rsid w:val="8021721C"/>
    <w:rsid w:val="805EF6B2"/>
    <w:rsid w:val="8063559F"/>
    <w:rsid w:val="80763B25"/>
    <w:rsid w:val="80D4BA25"/>
    <w:rsid w:val="80DF007D"/>
    <w:rsid w:val="81102153"/>
    <w:rsid w:val="811FAE44"/>
    <w:rsid w:val="81308BB0"/>
    <w:rsid w:val="81454841"/>
    <w:rsid w:val="816EC0EF"/>
    <w:rsid w:val="8186587D"/>
    <w:rsid w:val="818AD67F"/>
    <w:rsid w:val="81992888"/>
    <w:rsid w:val="81B418F5"/>
    <w:rsid w:val="820D5BCA"/>
    <w:rsid w:val="821A00F6"/>
    <w:rsid w:val="822E9575"/>
    <w:rsid w:val="822F0C46"/>
    <w:rsid w:val="824233A1"/>
    <w:rsid w:val="824448B8"/>
    <w:rsid w:val="8249A79D"/>
    <w:rsid w:val="82A61ED0"/>
    <w:rsid w:val="82C0E709"/>
    <w:rsid w:val="82D74439"/>
    <w:rsid w:val="82F83D46"/>
    <w:rsid w:val="830BD578"/>
    <w:rsid w:val="830D0FF3"/>
    <w:rsid w:val="832D9DC3"/>
    <w:rsid w:val="832EB755"/>
    <w:rsid w:val="834370F7"/>
    <w:rsid w:val="835199E7"/>
    <w:rsid w:val="83CC8CE1"/>
    <w:rsid w:val="83FC9994"/>
    <w:rsid w:val="8422B4DC"/>
    <w:rsid w:val="8471BC71"/>
    <w:rsid w:val="84A077CD"/>
    <w:rsid w:val="84AF5998"/>
    <w:rsid w:val="84D34EA4"/>
    <w:rsid w:val="84DB740E"/>
    <w:rsid w:val="84F198FB"/>
    <w:rsid w:val="8540BC76"/>
    <w:rsid w:val="85451BCE"/>
    <w:rsid w:val="856002E6"/>
    <w:rsid w:val="8572F5E4"/>
    <w:rsid w:val="857E6BA6"/>
    <w:rsid w:val="85D90191"/>
    <w:rsid w:val="85E9AF10"/>
    <w:rsid w:val="86480AE7"/>
    <w:rsid w:val="86484CD1"/>
    <w:rsid w:val="865459F7"/>
    <w:rsid w:val="86585906"/>
    <w:rsid w:val="86682E3C"/>
    <w:rsid w:val="8682C7B5"/>
    <w:rsid w:val="86905101"/>
    <w:rsid w:val="86C65517"/>
    <w:rsid w:val="8711A08B"/>
    <w:rsid w:val="8790B793"/>
    <w:rsid w:val="879B1B11"/>
    <w:rsid w:val="87F318E0"/>
    <w:rsid w:val="87F33DFE"/>
    <w:rsid w:val="87F38B6E"/>
    <w:rsid w:val="88103A09"/>
    <w:rsid w:val="883897D9"/>
    <w:rsid w:val="8868BC80"/>
    <w:rsid w:val="88C5B499"/>
    <w:rsid w:val="88CE7B7B"/>
    <w:rsid w:val="88D2529B"/>
    <w:rsid w:val="88EEBE15"/>
    <w:rsid w:val="88FE6C01"/>
    <w:rsid w:val="890440E4"/>
    <w:rsid w:val="89055F09"/>
    <w:rsid w:val="890B781C"/>
    <w:rsid w:val="890E2B77"/>
    <w:rsid w:val="892D1DAA"/>
    <w:rsid w:val="8944D748"/>
    <w:rsid w:val="89614AD4"/>
    <w:rsid w:val="898E30F2"/>
    <w:rsid w:val="899233BC"/>
    <w:rsid w:val="89A49887"/>
    <w:rsid w:val="89AACCE5"/>
    <w:rsid w:val="89B13E23"/>
    <w:rsid w:val="89E2C6DA"/>
    <w:rsid w:val="8A240239"/>
    <w:rsid w:val="8A75F357"/>
    <w:rsid w:val="8AACE0E4"/>
    <w:rsid w:val="8AAD5977"/>
    <w:rsid w:val="8ACCDC67"/>
    <w:rsid w:val="8AEFF2C3"/>
    <w:rsid w:val="8B35228E"/>
    <w:rsid w:val="8B46A4C0"/>
    <w:rsid w:val="8B4D6EB0"/>
    <w:rsid w:val="8B653FEB"/>
    <w:rsid w:val="8BA5D675"/>
    <w:rsid w:val="8BE2E370"/>
    <w:rsid w:val="8BF418E4"/>
    <w:rsid w:val="8C0B7370"/>
    <w:rsid w:val="8C0E0838"/>
    <w:rsid w:val="8C32A956"/>
    <w:rsid w:val="8C3E1FA0"/>
    <w:rsid w:val="8C4FE5AF"/>
    <w:rsid w:val="8C503D61"/>
    <w:rsid w:val="8C50575A"/>
    <w:rsid w:val="8C7459ED"/>
    <w:rsid w:val="8CA506BB"/>
    <w:rsid w:val="8CB80677"/>
    <w:rsid w:val="8CDCBC77"/>
    <w:rsid w:val="8D1BBE13"/>
    <w:rsid w:val="8D3A5917"/>
    <w:rsid w:val="8D4FAC0C"/>
    <w:rsid w:val="8D784D1B"/>
    <w:rsid w:val="8DDBC26D"/>
    <w:rsid w:val="8DF8DD70"/>
    <w:rsid w:val="8E279898"/>
    <w:rsid w:val="8E3D1C90"/>
    <w:rsid w:val="8E4FD91B"/>
    <w:rsid w:val="8E5405BC"/>
    <w:rsid w:val="8E6E2F2D"/>
    <w:rsid w:val="8EAFCB94"/>
    <w:rsid w:val="8EB21499"/>
    <w:rsid w:val="8EC521B5"/>
    <w:rsid w:val="8EC8B20B"/>
    <w:rsid w:val="8ECE17D7"/>
    <w:rsid w:val="8F126A2E"/>
    <w:rsid w:val="8F25A2E6"/>
    <w:rsid w:val="8F73DC9B"/>
    <w:rsid w:val="8FBC2687"/>
    <w:rsid w:val="8FE3F393"/>
    <w:rsid w:val="8FF99CD4"/>
    <w:rsid w:val="9016BC69"/>
    <w:rsid w:val="9021AE1F"/>
    <w:rsid w:val="90335515"/>
    <w:rsid w:val="90697EE0"/>
    <w:rsid w:val="906D0D96"/>
    <w:rsid w:val="907BF2FB"/>
    <w:rsid w:val="907E9935"/>
    <w:rsid w:val="9096F1B3"/>
    <w:rsid w:val="9105237E"/>
    <w:rsid w:val="9106ABE0"/>
    <w:rsid w:val="912B93A7"/>
    <w:rsid w:val="914AFDD5"/>
    <w:rsid w:val="917CFF45"/>
    <w:rsid w:val="919E1DAB"/>
    <w:rsid w:val="91BDEC58"/>
    <w:rsid w:val="91C5EF6A"/>
    <w:rsid w:val="91EBDC71"/>
    <w:rsid w:val="921AEECC"/>
    <w:rsid w:val="922FE5D3"/>
    <w:rsid w:val="9243BFA4"/>
    <w:rsid w:val="9246C7B6"/>
    <w:rsid w:val="9270B41D"/>
    <w:rsid w:val="92ADE9BC"/>
    <w:rsid w:val="92B319DC"/>
    <w:rsid w:val="92C1C09E"/>
    <w:rsid w:val="92CDBD8D"/>
    <w:rsid w:val="92E25E1D"/>
    <w:rsid w:val="92FF5F0E"/>
    <w:rsid w:val="93408E0B"/>
    <w:rsid w:val="93D7B104"/>
    <w:rsid w:val="93DDE162"/>
    <w:rsid w:val="93F97AC8"/>
    <w:rsid w:val="94192662"/>
    <w:rsid w:val="9432CAFA"/>
    <w:rsid w:val="943FA02B"/>
    <w:rsid w:val="94760713"/>
    <w:rsid w:val="9492E218"/>
    <w:rsid w:val="94EF2190"/>
    <w:rsid w:val="957F1332"/>
    <w:rsid w:val="9582A0F4"/>
    <w:rsid w:val="95839088"/>
    <w:rsid w:val="958C54C8"/>
    <w:rsid w:val="95B5A893"/>
    <w:rsid w:val="95C83282"/>
    <w:rsid w:val="95E12C72"/>
    <w:rsid w:val="95F2F702"/>
    <w:rsid w:val="9601B3A2"/>
    <w:rsid w:val="96B6061A"/>
    <w:rsid w:val="96CDF4ED"/>
    <w:rsid w:val="96F0BAE8"/>
    <w:rsid w:val="970AB7E2"/>
    <w:rsid w:val="970B86FC"/>
    <w:rsid w:val="974FA6C5"/>
    <w:rsid w:val="975FB8BF"/>
    <w:rsid w:val="976A4D5B"/>
    <w:rsid w:val="977C70A1"/>
    <w:rsid w:val="979D4370"/>
    <w:rsid w:val="981B59AE"/>
    <w:rsid w:val="98451FD4"/>
    <w:rsid w:val="9867AB89"/>
    <w:rsid w:val="9869FC44"/>
    <w:rsid w:val="987C5195"/>
    <w:rsid w:val="98910041"/>
    <w:rsid w:val="98B34E5C"/>
    <w:rsid w:val="98F65C3B"/>
    <w:rsid w:val="991BED84"/>
    <w:rsid w:val="9944A799"/>
    <w:rsid w:val="9952995A"/>
    <w:rsid w:val="9957A2B7"/>
    <w:rsid w:val="99613839"/>
    <w:rsid w:val="9966F990"/>
    <w:rsid w:val="996AB0B6"/>
    <w:rsid w:val="996DF31F"/>
    <w:rsid w:val="996F099A"/>
    <w:rsid w:val="99867047"/>
    <w:rsid w:val="99BAC104"/>
    <w:rsid w:val="99C5A3FA"/>
    <w:rsid w:val="99D1F785"/>
    <w:rsid w:val="99D9CBAA"/>
    <w:rsid w:val="99E87DC0"/>
    <w:rsid w:val="9A0DBC1C"/>
    <w:rsid w:val="9A685B74"/>
    <w:rsid w:val="9A694361"/>
    <w:rsid w:val="9A69A5D3"/>
    <w:rsid w:val="9A735216"/>
    <w:rsid w:val="9AAA59E5"/>
    <w:rsid w:val="9AD7A32C"/>
    <w:rsid w:val="9AFC10C3"/>
    <w:rsid w:val="9B4FE50D"/>
    <w:rsid w:val="9B90D6EA"/>
    <w:rsid w:val="9BACAD71"/>
    <w:rsid w:val="9C014D5E"/>
    <w:rsid w:val="9C24C20C"/>
    <w:rsid w:val="9C379D37"/>
    <w:rsid w:val="9C9EF4B1"/>
    <w:rsid w:val="9CC923F4"/>
    <w:rsid w:val="9CCA99F5"/>
    <w:rsid w:val="9CF03436"/>
    <w:rsid w:val="9D211C8E"/>
    <w:rsid w:val="9D3C99C3"/>
    <w:rsid w:val="9D5585E3"/>
    <w:rsid w:val="9D608997"/>
    <w:rsid w:val="9D6D543A"/>
    <w:rsid w:val="9D854C16"/>
    <w:rsid w:val="9DE27ECE"/>
    <w:rsid w:val="9E38A934"/>
    <w:rsid w:val="9E38D251"/>
    <w:rsid w:val="9E48AEDB"/>
    <w:rsid w:val="9E5F443B"/>
    <w:rsid w:val="9E8FBA1F"/>
    <w:rsid w:val="9E9DEEA3"/>
    <w:rsid w:val="9EB9EB4C"/>
    <w:rsid w:val="9F359200"/>
    <w:rsid w:val="9F412487"/>
    <w:rsid w:val="9F448246"/>
    <w:rsid w:val="9F8D3E8A"/>
    <w:rsid w:val="9FA865E9"/>
    <w:rsid w:val="9FE27D22"/>
    <w:rsid w:val="A0160B39"/>
    <w:rsid w:val="A08BE78E"/>
    <w:rsid w:val="A0B37A9B"/>
    <w:rsid w:val="A0BEB22B"/>
    <w:rsid w:val="A0C24F61"/>
    <w:rsid w:val="A0FAE3D8"/>
    <w:rsid w:val="A11E94F4"/>
    <w:rsid w:val="A165376E"/>
    <w:rsid w:val="A1677FC2"/>
    <w:rsid w:val="A1A1D7A2"/>
    <w:rsid w:val="A1A9022F"/>
    <w:rsid w:val="A1BB04C8"/>
    <w:rsid w:val="A1D03058"/>
    <w:rsid w:val="A1DBCD88"/>
    <w:rsid w:val="A2491CC1"/>
    <w:rsid w:val="A261741B"/>
    <w:rsid w:val="A26AD978"/>
    <w:rsid w:val="A27B7093"/>
    <w:rsid w:val="A2A9C7E9"/>
    <w:rsid w:val="A2C012E5"/>
    <w:rsid w:val="A2F69BA9"/>
    <w:rsid w:val="A307295F"/>
    <w:rsid w:val="A3205684"/>
    <w:rsid w:val="A339347D"/>
    <w:rsid w:val="A34F653C"/>
    <w:rsid w:val="A35A8CB0"/>
    <w:rsid w:val="A3667051"/>
    <w:rsid w:val="A38A1478"/>
    <w:rsid w:val="A391FCB2"/>
    <w:rsid w:val="A3CAE30E"/>
    <w:rsid w:val="A41D2B63"/>
    <w:rsid w:val="A44EFE02"/>
    <w:rsid w:val="A464C1F5"/>
    <w:rsid w:val="A465F820"/>
    <w:rsid w:val="A4A7B47F"/>
    <w:rsid w:val="A4AC67D5"/>
    <w:rsid w:val="A4B37E06"/>
    <w:rsid w:val="A4CC985F"/>
    <w:rsid w:val="A4D19AC1"/>
    <w:rsid w:val="A4EC6463"/>
    <w:rsid w:val="A4EEEAA3"/>
    <w:rsid w:val="A54392C5"/>
    <w:rsid w:val="A5B23A05"/>
    <w:rsid w:val="A5C95AEA"/>
    <w:rsid w:val="A6106753"/>
    <w:rsid w:val="A64F6A6E"/>
    <w:rsid w:val="A6739AF4"/>
    <w:rsid w:val="A68B58D8"/>
    <w:rsid w:val="A6984586"/>
    <w:rsid w:val="A6A2DFC6"/>
    <w:rsid w:val="A6A43315"/>
    <w:rsid w:val="A6AE6F10"/>
    <w:rsid w:val="A6C81792"/>
    <w:rsid w:val="A6DE7E0E"/>
    <w:rsid w:val="A6EE0736"/>
    <w:rsid w:val="A6F52EC4"/>
    <w:rsid w:val="A70A2EF7"/>
    <w:rsid w:val="A740BEC7"/>
    <w:rsid w:val="A77B22F0"/>
    <w:rsid w:val="A79436E1"/>
    <w:rsid w:val="A79E1928"/>
    <w:rsid w:val="A7A259C7"/>
    <w:rsid w:val="A8018681"/>
    <w:rsid w:val="A83F07C3"/>
    <w:rsid w:val="A8497402"/>
    <w:rsid w:val="A852ABA1"/>
    <w:rsid w:val="A8DC515F"/>
    <w:rsid w:val="A911AA94"/>
    <w:rsid w:val="A9163D41"/>
    <w:rsid w:val="A94BF850"/>
    <w:rsid w:val="A95F8335"/>
    <w:rsid w:val="A9ADA3C9"/>
    <w:rsid w:val="A9C13D5C"/>
    <w:rsid w:val="A9D827D7"/>
    <w:rsid w:val="AA3A4F7D"/>
    <w:rsid w:val="AA7B03FC"/>
    <w:rsid w:val="AA7C9C3B"/>
    <w:rsid w:val="AAA1445B"/>
    <w:rsid w:val="AAA5A665"/>
    <w:rsid w:val="AAA908C2"/>
    <w:rsid w:val="AAC4BF1B"/>
    <w:rsid w:val="AAC65D82"/>
    <w:rsid w:val="AAE77FA1"/>
    <w:rsid w:val="AB0628F6"/>
    <w:rsid w:val="AB0BB089"/>
    <w:rsid w:val="AB131FBB"/>
    <w:rsid w:val="AB49FB26"/>
    <w:rsid w:val="AB4EE89D"/>
    <w:rsid w:val="AB5C4613"/>
    <w:rsid w:val="AB79EC7B"/>
    <w:rsid w:val="AB96192E"/>
    <w:rsid w:val="ABB99BB3"/>
    <w:rsid w:val="ABC2E700"/>
    <w:rsid w:val="ABD7B096"/>
    <w:rsid w:val="ABDAFF86"/>
    <w:rsid w:val="ABDC034A"/>
    <w:rsid w:val="AC4EE7B5"/>
    <w:rsid w:val="AC587F3B"/>
    <w:rsid w:val="AC6CB9C5"/>
    <w:rsid w:val="AC738870"/>
    <w:rsid w:val="ACBE114A"/>
    <w:rsid w:val="ACC1398E"/>
    <w:rsid w:val="ACE389C5"/>
    <w:rsid w:val="AD038FF5"/>
    <w:rsid w:val="AD6C9A7E"/>
    <w:rsid w:val="AD8AFBE8"/>
    <w:rsid w:val="AD9733A2"/>
    <w:rsid w:val="ADA66F86"/>
    <w:rsid w:val="ADAC4BBE"/>
    <w:rsid w:val="ADB91BBB"/>
    <w:rsid w:val="ADC5FD6B"/>
    <w:rsid w:val="ADC98CA3"/>
    <w:rsid w:val="ADCC0C6A"/>
    <w:rsid w:val="ADE169FF"/>
    <w:rsid w:val="AE47EAB1"/>
    <w:rsid w:val="AE50D396"/>
    <w:rsid w:val="AE7189B1"/>
    <w:rsid w:val="AE95F1AF"/>
    <w:rsid w:val="AEA737F6"/>
    <w:rsid w:val="AEAE9951"/>
    <w:rsid w:val="AEC8EBD1"/>
    <w:rsid w:val="AED2B209"/>
    <w:rsid w:val="AF0362A4"/>
    <w:rsid w:val="AF08D9F6"/>
    <w:rsid w:val="AF173BBA"/>
    <w:rsid w:val="AF396F82"/>
    <w:rsid w:val="AF55BD9C"/>
    <w:rsid w:val="AF5CC975"/>
    <w:rsid w:val="AF7449DF"/>
    <w:rsid w:val="AFBA4F77"/>
    <w:rsid w:val="AFE5B87A"/>
    <w:rsid w:val="AFFD5D0B"/>
    <w:rsid w:val="B02112B4"/>
    <w:rsid w:val="B06E499B"/>
    <w:rsid w:val="B08957FF"/>
    <w:rsid w:val="B0BA219B"/>
    <w:rsid w:val="B0BEAFB8"/>
    <w:rsid w:val="B0C9BBBE"/>
    <w:rsid w:val="B0DE198F"/>
    <w:rsid w:val="B0ED1063"/>
    <w:rsid w:val="B10442C7"/>
    <w:rsid w:val="B13A5CFE"/>
    <w:rsid w:val="B19AF962"/>
    <w:rsid w:val="B1A5CB4C"/>
    <w:rsid w:val="B1D960E1"/>
    <w:rsid w:val="B2469E55"/>
    <w:rsid w:val="B2B7ED6C"/>
    <w:rsid w:val="B2BE2E7F"/>
    <w:rsid w:val="B30FBEDC"/>
    <w:rsid w:val="B31A55F4"/>
    <w:rsid w:val="B34A2E00"/>
    <w:rsid w:val="B380C5D6"/>
    <w:rsid w:val="B3B6C806"/>
    <w:rsid w:val="B3F00795"/>
    <w:rsid w:val="B41E0C73"/>
    <w:rsid w:val="B42A600B"/>
    <w:rsid w:val="B43B5D86"/>
    <w:rsid w:val="B447A1DC"/>
    <w:rsid w:val="B4665CEE"/>
    <w:rsid w:val="B46B6194"/>
    <w:rsid w:val="B47BE9A4"/>
    <w:rsid w:val="B482100B"/>
    <w:rsid w:val="B48DD3BD"/>
    <w:rsid w:val="B4B6217D"/>
    <w:rsid w:val="B4E86785"/>
    <w:rsid w:val="B4FF6C0F"/>
    <w:rsid w:val="B50FA4E3"/>
    <w:rsid w:val="B518FAC6"/>
    <w:rsid w:val="B54B3B0F"/>
    <w:rsid w:val="B5A0D39E"/>
    <w:rsid w:val="B5DF40F6"/>
    <w:rsid w:val="B5E63B22"/>
    <w:rsid w:val="B5E7626B"/>
    <w:rsid w:val="B60D34E2"/>
    <w:rsid w:val="B6229F60"/>
    <w:rsid w:val="B6402355"/>
    <w:rsid w:val="B64CB3B7"/>
    <w:rsid w:val="B6578972"/>
    <w:rsid w:val="B65E7AF9"/>
    <w:rsid w:val="B68F63AA"/>
    <w:rsid w:val="B6A83942"/>
    <w:rsid w:val="B6B09F62"/>
    <w:rsid w:val="B6BF3762"/>
    <w:rsid w:val="B6F4E4B9"/>
    <w:rsid w:val="B72E3708"/>
    <w:rsid w:val="B75CD6F0"/>
    <w:rsid w:val="B7642EC5"/>
    <w:rsid w:val="B7A0E0C3"/>
    <w:rsid w:val="B8159227"/>
    <w:rsid w:val="B831CE40"/>
    <w:rsid w:val="B832D11B"/>
    <w:rsid w:val="B8794059"/>
    <w:rsid w:val="B87C42FA"/>
    <w:rsid w:val="B88558E7"/>
    <w:rsid w:val="B8C7C13B"/>
    <w:rsid w:val="B8CFBA58"/>
    <w:rsid w:val="B8DDA2A9"/>
    <w:rsid w:val="B8ED94E1"/>
    <w:rsid w:val="B8F59B27"/>
    <w:rsid w:val="B8FFB66C"/>
    <w:rsid w:val="B900925B"/>
    <w:rsid w:val="B90DF34F"/>
    <w:rsid w:val="B9120AAE"/>
    <w:rsid w:val="B931036F"/>
    <w:rsid w:val="B935A154"/>
    <w:rsid w:val="B93B5E9B"/>
    <w:rsid w:val="B9495967"/>
    <w:rsid w:val="B9507427"/>
    <w:rsid w:val="B956B036"/>
    <w:rsid w:val="B9722241"/>
    <w:rsid w:val="B9856ADB"/>
    <w:rsid w:val="B9AC0EAC"/>
    <w:rsid w:val="B9DB1C79"/>
    <w:rsid w:val="BA118FD8"/>
    <w:rsid w:val="BAE1C181"/>
    <w:rsid w:val="BAE3880B"/>
    <w:rsid w:val="BAF6D3A6"/>
    <w:rsid w:val="BAF74700"/>
    <w:rsid w:val="BB3792BB"/>
    <w:rsid w:val="BB401843"/>
    <w:rsid w:val="BB443EEB"/>
    <w:rsid w:val="BB4E06E1"/>
    <w:rsid w:val="BB55579E"/>
    <w:rsid w:val="BB9251D3"/>
    <w:rsid w:val="BBCE7F25"/>
    <w:rsid w:val="BBD9FD3F"/>
    <w:rsid w:val="BC59D333"/>
    <w:rsid w:val="BC60F4D0"/>
    <w:rsid w:val="BC7F61F4"/>
    <w:rsid w:val="BCA01384"/>
    <w:rsid w:val="BCE58839"/>
    <w:rsid w:val="BD408418"/>
    <w:rsid w:val="BDA0E5BD"/>
    <w:rsid w:val="BDA77457"/>
    <w:rsid w:val="BDBAAB4D"/>
    <w:rsid w:val="BDC58CF5"/>
    <w:rsid w:val="BDC77A29"/>
    <w:rsid w:val="BDC7D3D3"/>
    <w:rsid w:val="BE0C215C"/>
    <w:rsid w:val="BE5BED05"/>
    <w:rsid w:val="BE5CBBA6"/>
    <w:rsid w:val="BEE5FD2E"/>
    <w:rsid w:val="BEE91F2C"/>
    <w:rsid w:val="BEE9E352"/>
    <w:rsid w:val="BF0EF2F4"/>
    <w:rsid w:val="BF3E7BB0"/>
    <w:rsid w:val="BF4274EC"/>
    <w:rsid w:val="BF7BBD96"/>
    <w:rsid w:val="BFB35ADE"/>
    <w:rsid w:val="BFC13431"/>
    <w:rsid w:val="BFD08AEA"/>
    <w:rsid w:val="C006CC9D"/>
    <w:rsid w:val="C01E6EB5"/>
    <w:rsid w:val="C030EC92"/>
    <w:rsid w:val="C059E86F"/>
    <w:rsid w:val="C069EDD2"/>
    <w:rsid w:val="C08C94E2"/>
    <w:rsid w:val="C0BF4055"/>
    <w:rsid w:val="C0E5C88D"/>
    <w:rsid w:val="C0E905DE"/>
    <w:rsid w:val="C1340F9B"/>
    <w:rsid w:val="C1935419"/>
    <w:rsid w:val="C1A8B0D6"/>
    <w:rsid w:val="C1CD42C5"/>
    <w:rsid w:val="C1EA4DF5"/>
    <w:rsid w:val="C1EBFC91"/>
    <w:rsid w:val="C201C9FA"/>
    <w:rsid w:val="C206D7C0"/>
    <w:rsid w:val="C2133372"/>
    <w:rsid w:val="C21F290A"/>
    <w:rsid w:val="C2215D08"/>
    <w:rsid w:val="C24ECD5F"/>
    <w:rsid w:val="C25BE141"/>
    <w:rsid w:val="C274049B"/>
    <w:rsid w:val="C296EC90"/>
    <w:rsid w:val="C2A4B397"/>
    <w:rsid w:val="C2B46524"/>
    <w:rsid w:val="C2DA7F98"/>
    <w:rsid w:val="C3140E6B"/>
    <w:rsid w:val="C31B1FD2"/>
    <w:rsid w:val="C31F4AA3"/>
    <w:rsid w:val="C320B4E0"/>
    <w:rsid w:val="C32DD8EB"/>
    <w:rsid w:val="C35E9E46"/>
    <w:rsid w:val="C365453A"/>
    <w:rsid w:val="C39376EE"/>
    <w:rsid w:val="C3FC9B2B"/>
    <w:rsid w:val="C3FF2AEF"/>
    <w:rsid w:val="C4284AAE"/>
    <w:rsid w:val="C4540ACD"/>
    <w:rsid w:val="C459A10B"/>
    <w:rsid w:val="C47A3527"/>
    <w:rsid w:val="C47D8BB5"/>
    <w:rsid w:val="C4E96946"/>
    <w:rsid w:val="C4F1A863"/>
    <w:rsid w:val="C50B94B9"/>
    <w:rsid w:val="C56AB7DA"/>
    <w:rsid w:val="C56AF99E"/>
    <w:rsid w:val="C56B7991"/>
    <w:rsid w:val="C591B8CE"/>
    <w:rsid w:val="C59A09B0"/>
    <w:rsid w:val="C5B105C6"/>
    <w:rsid w:val="C5D23274"/>
    <w:rsid w:val="C6369C25"/>
    <w:rsid w:val="C65D1514"/>
    <w:rsid w:val="C68145B1"/>
    <w:rsid w:val="C6852BEA"/>
    <w:rsid w:val="C6858B71"/>
    <w:rsid w:val="C6956621"/>
    <w:rsid w:val="C6A59E77"/>
    <w:rsid w:val="C6A9484D"/>
    <w:rsid w:val="C6F1F4B0"/>
    <w:rsid w:val="C7049D8B"/>
    <w:rsid w:val="C7273E49"/>
    <w:rsid w:val="C732E4A4"/>
    <w:rsid w:val="C7341625"/>
    <w:rsid w:val="C7427054"/>
    <w:rsid w:val="C7477D1D"/>
    <w:rsid w:val="C760FA7B"/>
    <w:rsid w:val="C784F960"/>
    <w:rsid w:val="C78519D0"/>
    <w:rsid w:val="C7B0BE0F"/>
    <w:rsid w:val="C7BB8618"/>
    <w:rsid w:val="C7C7683D"/>
    <w:rsid w:val="C7DE6BAB"/>
    <w:rsid w:val="C7FBD423"/>
    <w:rsid w:val="C7FD2663"/>
    <w:rsid w:val="C8097481"/>
    <w:rsid w:val="C82BEDB4"/>
    <w:rsid w:val="C83F2C54"/>
    <w:rsid w:val="C8414CF0"/>
    <w:rsid w:val="C89D0F29"/>
    <w:rsid w:val="C8A975C1"/>
    <w:rsid w:val="C8C72959"/>
    <w:rsid w:val="C9260645"/>
    <w:rsid w:val="C92F6C42"/>
    <w:rsid w:val="C931E5E1"/>
    <w:rsid w:val="C93419E0"/>
    <w:rsid w:val="C93F3CCF"/>
    <w:rsid w:val="C976F546"/>
    <w:rsid w:val="C97E3865"/>
    <w:rsid w:val="C99C197F"/>
    <w:rsid w:val="C9B2A07C"/>
    <w:rsid w:val="C9BA8CA5"/>
    <w:rsid w:val="CA0221CF"/>
    <w:rsid w:val="CA0C9352"/>
    <w:rsid w:val="CA1FCCB8"/>
    <w:rsid w:val="CA201887"/>
    <w:rsid w:val="CA3AD671"/>
    <w:rsid w:val="CA55109E"/>
    <w:rsid w:val="CA8817CF"/>
    <w:rsid w:val="CAA16284"/>
    <w:rsid w:val="CAC71CD5"/>
    <w:rsid w:val="CAF329DE"/>
    <w:rsid w:val="CAF8D888"/>
    <w:rsid w:val="CB1E5204"/>
    <w:rsid w:val="CB717591"/>
    <w:rsid w:val="CB7A2747"/>
    <w:rsid w:val="CB8E5A55"/>
    <w:rsid w:val="CBAA6742"/>
    <w:rsid w:val="CBB6699F"/>
    <w:rsid w:val="CC0E3774"/>
    <w:rsid w:val="CC28EFD1"/>
    <w:rsid w:val="CC55A009"/>
    <w:rsid w:val="CC83EB58"/>
    <w:rsid w:val="CCC18264"/>
    <w:rsid w:val="CCC9D386"/>
    <w:rsid w:val="CCE061F3"/>
    <w:rsid w:val="CD066844"/>
    <w:rsid w:val="CD0E4A62"/>
    <w:rsid w:val="CD1FB388"/>
    <w:rsid w:val="CD301159"/>
    <w:rsid w:val="CD4D2955"/>
    <w:rsid w:val="CE4D9365"/>
    <w:rsid w:val="CEB8B28F"/>
    <w:rsid w:val="CEF5ECA3"/>
    <w:rsid w:val="CF395745"/>
    <w:rsid w:val="CFB40BA4"/>
    <w:rsid w:val="CFB7E429"/>
    <w:rsid w:val="CFC9C2C0"/>
    <w:rsid w:val="CFE2817C"/>
    <w:rsid w:val="D06DB0F7"/>
    <w:rsid w:val="D0AFF0CE"/>
    <w:rsid w:val="D0C4FB34"/>
    <w:rsid w:val="D0D66B3C"/>
    <w:rsid w:val="D0DD777D"/>
    <w:rsid w:val="D10C25E8"/>
    <w:rsid w:val="D13E6448"/>
    <w:rsid w:val="D168DFEF"/>
    <w:rsid w:val="D18503BC"/>
    <w:rsid w:val="D18E5412"/>
    <w:rsid w:val="D1BB6068"/>
    <w:rsid w:val="D21B222F"/>
    <w:rsid w:val="D21E2C2A"/>
    <w:rsid w:val="D2222EE0"/>
    <w:rsid w:val="D26B3AE9"/>
    <w:rsid w:val="D2BA2006"/>
    <w:rsid w:val="D2C7A932"/>
    <w:rsid w:val="D2D16E89"/>
    <w:rsid w:val="D305242A"/>
    <w:rsid w:val="D336DFE5"/>
    <w:rsid w:val="D34FB20E"/>
    <w:rsid w:val="D3546D45"/>
    <w:rsid w:val="D36E02B4"/>
    <w:rsid w:val="D3E8EE22"/>
    <w:rsid w:val="D3F79E48"/>
    <w:rsid w:val="D4072FDF"/>
    <w:rsid w:val="D41E452D"/>
    <w:rsid w:val="D42956B3"/>
    <w:rsid w:val="D4A898BB"/>
    <w:rsid w:val="D4B179AB"/>
    <w:rsid w:val="D4BF6563"/>
    <w:rsid w:val="D4FB8295"/>
    <w:rsid w:val="D50AEDD7"/>
    <w:rsid w:val="D5598B7F"/>
    <w:rsid w:val="D575E28D"/>
    <w:rsid w:val="D57E6EA4"/>
    <w:rsid w:val="D598574B"/>
    <w:rsid w:val="D5DC870B"/>
    <w:rsid w:val="D5DD2CF3"/>
    <w:rsid w:val="D5DFB737"/>
    <w:rsid w:val="D610A9D1"/>
    <w:rsid w:val="D61E7DBB"/>
    <w:rsid w:val="D62F46B5"/>
    <w:rsid w:val="D642B6FC"/>
    <w:rsid w:val="D67C03B4"/>
    <w:rsid w:val="D69556CD"/>
    <w:rsid w:val="D6C75713"/>
    <w:rsid w:val="D6D4D485"/>
    <w:rsid w:val="D6D9BD4F"/>
    <w:rsid w:val="D6EB38A6"/>
    <w:rsid w:val="D6F3AFD8"/>
    <w:rsid w:val="D712CCB1"/>
    <w:rsid w:val="D71B13B5"/>
    <w:rsid w:val="D7916B62"/>
    <w:rsid w:val="D79E67F2"/>
    <w:rsid w:val="D7C2B6A6"/>
    <w:rsid w:val="D7C443AA"/>
    <w:rsid w:val="D7F0B13D"/>
    <w:rsid w:val="D7FB6009"/>
    <w:rsid w:val="D806B76A"/>
    <w:rsid w:val="D8078056"/>
    <w:rsid w:val="D829469B"/>
    <w:rsid w:val="D82EA608"/>
    <w:rsid w:val="D85466F7"/>
    <w:rsid w:val="D878790F"/>
    <w:rsid w:val="D8DBEC68"/>
    <w:rsid w:val="D8F55EBA"/>
    <w:rsid w:val="D96171E3"/>
    <w:rsid w:val="D9673E19"/>
    <w:rsid w:val="D98E9F75"/>
    <w:rsid w:val="D9958181"/>
    <w:rsid w:val="D9AC06B2"/>
    <w:rsid w:val="DA028BEB"/>
    <w:rsid w:val="DA191ECF"/>
    <w:rsid w:val="DA27F573"/>
    <w:rsid w:val="DA2C8F3F"/>
    <w:rsid w:val="DA68458C"/>
    <w:rsid w:val="DA7D7BA3"/>
    <w:rsid w:val="DA88031F"/>
    <w:rsid w:val="DA8A9B09"/>
    <w:rsid w:val="DAB3F860"/>
    <w:rsid w:val="DB570C9E"/>
    <w:rsid w:val="DB646A14"/>
    <w:rsid w:val="DB980D64"/>
    <w:rsid w:val="DB98BE91"/>
    <w:rsid w:val="DBDA498F"/>
    <w:rsid w:val="DBE20F89"/>
    <w:rsid w:val="DC156AF7"/>
    <w:rsid w:val="DC2EF4EF"/>
    <w:rsid w:val="DC4ACC6E"/>
    <w:rsid w:val="DC4DFCAE"/>
    <w:rsid w:val="DC501A92"/>
    <w:rsid w:val="DC83E6B3"/>
    <w:rsid w:val="DCEB9688"/>
    <w:rsid w:val="DD0552F1"/>
    <w:rsid w:val="DD23A9F4"/>
    <w:rsid w:val="DD447DFD"/>
    <w:rsid w:val="DD46CAC5"/>
    <w:rsid w:val="DD5B960B"/>
    <w:rsid w:val="DD5E1A4A"/>
    <w:rsid w:val="DD6AD216"/>
    <w:rsid w:val="DD98E275"/>
    <w:rsid w:val="DDA0ABDB"/>
    <w:rsid w:val="DDD55817"/>
    <w:rsid w:val="DDE50F76"/>
    <w:rsid w:val="DE2414FD"/>
    <w:rsid w:val="DE2B0352"/>
    <w:rsid w:val="DE431216"/>
    <w:rsid w:val="DE706B6B"/>
    <w:rsid w:val="DE93071F"/>
    <w:rsid w:val="DE9DD5B4"/>
    <w:rsid w:val="DED67C2A"/>
    <w:rsid w:val="DF5BC57E"/>
    <w:rsid w:val="DF65F33F"/>
    <w:rsid w:val="DF7CD16E"/>
    <w:rsid w:val="DFAEC65B"/>
    <w:rsid w:val="DFD20D19"/>
    <w:rsid w:val="DFD53422"/>
    <w:rsid w:val="DFDE0EC5"/>
    <w:rsid w:val="DFE96E2A"/>
    <w:rsid w:val="E039FD7A"/>
    <w:rsid w:val="E03A3F4A"/>
    <w:rsid w:val="E0415259"/>
    <w:rsid w:val="E098D123"/>
    <w:rsid w:val="E0CB3026"/>
    <w:rsid w:val="E0EA9E9B"/>
    <w:rsid w:val="E1199369"/>
    <w:rsid w:val="E120291E"/>
    <w:rsid w:val="E13D15EF"/>
    <w:rsid w:val="E14D6962"/>
    <w:rsid w:val="E159E6DB"/>
    <w:rsid w:val="E15C1C72"/>
    <w:rsid w:val="E1AE68EA"/>
    <w:rsid w:val="E1B7B211"/>
    <w:rsid w:val="E1BEE195"/>
    <w:rsid w:val="E1C39C1C"/>
    <w:rsid w:val="E21A70DC"/>
    <w:rsid w:val="E24A98AF"/>
    <w:rsid w:val="E25F28AE"/>
    <w:rsid w:val="E28790E6"/>
    <w:rsid w:val="E2B8B399"/>
    <w:rsid w:val="E2CBAA50"/>
    <w:rsid w:val="E2F31CED"/>
    <w:rsid w:val="E30AD5D1"/>
    <w:rsid w:val="E31500D9"/>
    <w:rsid w:val="E32D5980"/>
    <w:rsid w:val="E3927F99"/>
    <w:rsid w:val="E39F1401"/>
    <w:rsid w:val="E3A172FC"/>
    <w:rsid w:val="E3B1DE19"/>
    <w:rsid w:val="E3BC78FF"/>
    <w:rsid w:val="E3C6799D"/>
    <w:rsid w:val="E3E7F8AC"/>
    <w:rsid w:val="E4196B5F"/>
    <w:rsid w:val="E41F8A6B"/>
    <w:rsid w:val="E4482C9D"/>
    <w:rsid w:val="E4567541"/>
    <w:rsid w:val="E464C98E"/>
    <w:rsid w:val="E484D989"/>
    <w:rsid w:val="E4865CA5"/>
    <w:rsid w:val="E4CF8F7A"/>
    <w:rsid w:val="E4F40B74"/>
    <w:rsid w:val="E529F68C"/>
    <w:rsid w:val="E54A42CF"/>
    <w:rsid w:val="E57FCF3C"/>
    <w:rsid w:val="E58A69CD"/>
    <w:rsid w:val="E5AAEE65"/>
    <w:rsid w:val="E5B41A2D"/>
    <w:rsid w:val="E5DDADA0"/>
    <w:rsid w:val="E6079E13"/>
    <w:rsid w:val="E61185D5"/>
    <w:rsid w:val="E6184D03"/>
    <w:rsid w:val="E621A7EC"/>
    <w:rsid w:val="E635FBFB"/>
    <w:rsid w:val="E65236F0"/>
    <w:rsid w:val="E6708A9D"/>
    <w:rsid w:val="E67D841F"/>
    <w:rsid w:val="E67D86F3"/>
    <w:rsid w:val="E6996686"/>
    <w:rsid w:val="E6B03F6F"/>
    <w:rsid w:val="E6FC373A"/>
    <w:rsid w:val="E733896E"/>
    <w:rsid w:val="E73B6518"/>
    <w:rsid w:val="E771C4F7"/>
    <w:rsid w:val="E77B248B"/>
    <w:rsid w:val="E784468F"/>
    <w:rsid w:val="E794344C"/>
    <w:rsid w:val="E799B6FC"/>
    <w:rsid w:val="E79B8E60"/>
    <w:rsid w:val="E7BF3EDE"/>
    <w:rsid w:val="E7C538FE"/>
    <w:rsid w:val="E7DECEE4"/>
    <w:rsid w:val="E7FEB2D1"/>
    <w:rsid w:val="E8019642"/>
    <w:rsid w:val="E804DE35"/>
    <w:rsid w:val="E8762CCD"/>
    <w:rsid w:val="E8895C64"/>
    <w:rsid w:val="E8C75233"/>
    <w:rsid w:val="E8D582AD"/>
    <w:rsid w:val="E8E95EB4"/>
    <w:rsid w:val="E9286A7D"/>
    <w:rsid w:val="E929A4BF"/>
    <w:rsid w:val="E92E047F"/>
    <w:rsid w:val="E93D8C28"/>
    <w:rsid w:val="E95E0B41"/>
    <w:rsid w:val="E9637812"/>
    <w:rsid w:val="E971E511"/>
    <w:rsid w:val="E97B27E3"/>
    <w:rsid w:val="E9867907"/>
    <w:rsid w:val="E9CD40AF"/>
    <w:rsid w:val="E9D866D1"/>
    <w:rsid w:val="E9E59EC3"/>
    <w:rsid w:val="E9F5F142"/>
    <w:rsid w:val="EA0B54A5"/>
    <w:rsid w:val="EA4E3E97"/>
    <w:rsid w:val="EA53F089"/>
    <w:rsid w:val="EA5E7EA8"/>
    <w:rsid w:val="EA7BEEF0"/>
    <w:rsid w:val="EA8B925C"/>
    <w:rsid w:val="EAA369DA"/>
    <w:rsid w:val="EAAAAC91"/>
    <w:rsid w:val="EAACA239"/>
    <w:rsid w:val="EB03E205"/>
    <w:rsid w:val="EB329606"/>
    <w:rsid w:val="EB9D321A"/>
    <w:rsid w:val="EBAFEB6B"/>
    <w:rsid w:val="EBC7D852"/>
    <w:rsid w:val="EBE2050C"/>
    <w:rsid w:val="EBE38847"/>
    <w:rsid w:val="EC02AFE1"/>
    <w:rsid w:val="EC1604A7"/>
    <w:rsid w:val="EC18C13A"/>
    <w:rsid w:val="EC341B41"/>
    <w:rsid w:val="EC429B88"/>
    <w:rsid w:val="EC4C8AA6"/>
    <w:rsid w:val="EC5CA21A"/>
    <w:rsid w:val="EC895D34"/>
    <w:rsid w:val="ECB7C89B"/>
    <w:rsid w:val="ECC25FD4"/>
    <w:rsid w:val="ECDBF862"/>
    <w:rsid w:val="ED34BCC3"/>
    <w:rsid w:val="ED3F694E"/>
    <w:rsid w:val="ED4D8F55"/>
    <w:rsid w:val="ED6D6F24"/>
    <w:rsid w:val="EDAA0470"/>
    <w:rsid w:val="EDB02C2C"/>
    <w:rsid w:val="EDC069FD"/>
    <w:rsid w:val="EDEBEBB9"/>
    <w:rsid w:val="EE0A4B00"/>
    <w:rsid w:val="EE711522"/>
    <w:rsid w:val="EE73091E"/>
    <w:rsid w:val="EE8C7A79"/>
    <w:rsid w:val="EEA22B1D"/>
    <w:rsid w:val="EED45A43"/>
    <w:rsid w:val="EF134C5B"/>
    <w:rsid w:val="EF260981"/>
    <w:rsid w:val="EF3B10E3"/>
    <w:rsid w:val="EF49D3AB"/>
    <w:rsid w:val="EF8B5E61"/>
    <w:rsid w:val="EFB16063"/>
    <w:rsid w:val="EFBC6A8B"/>
    <w:rsid w:val="EFD5F28A"/>
    <w:rsid w:val="EFD938FB"/>
    <w:rsid w:val="EFDB87C0"/>
    <w:rsid w:val="F05A1BEA"/>
    <w:rsid w:val="F0626706"/>
    <w:rsid w:val="F078819D"/>
    <w:rsid w:val="F089CC0D"/>
    <w:rsid w:val="F08AD2E7"/>
    <w:rsid w:val="F0CFB57E"/>
    <w:rsid w:val="F0D01AAA"/>
    <w:rsid w:val="F0FFCB28"/>
    <w:rsid w:val="F14CFBE6"/>
    <w:rsid w:val="F15077EA"/>
    <w:rsid w:val="F1524763"/>
    <w:rsid w:val="F16ACBE6"/>
    <w:rsid w:val="F170124B"/>
    <w:rsid w:val="F1832D16"/>
    <w:rsid w:val="F19D3427"/>
    <w:rsid w:val="F21949ED"/>
    <w:rsid w:val="F237E487"/>
    <w:rsid w:val="F240D89F"/>
    <w:rsid w:val="F2982ECD"/>
    <w:rsid w:val="F29947CD"/>
    <w:rsid w:val="F2E0997F"/>
    <w:rsid w:val="F30211DE"/>
    <w:rsid w:val="F3250529"/>
    <w:rsid w:val="F33BE6FB"/>
    <w:rsid w:val="F34272DF"/>
    <w:rsid w:val="F358DDA0"/>
    <w:rsid w:val="F35DC9A9"/>
    <w:rsid w:val="F3639EEF"/>
    <w:rsid w:val="F38C1EBE"/>
    <w:rsid w:val="F3944812"/>
    <w:rsid w:val="F3C0EDD6"/>
    <w:rsid w:val="F3CF9017"/>
    <w:rsid w:val="F3E34BB5"/>
    <w:rsid w:val="F41A7ADE"/>
    <w:rsid w:val="F42FFF31"/>
    <w:rsid w:val="F47888A8"/>
    <w:rsid w:val="F49DA72B"/>
    <w:rsid w:val="F4A66799"/>
    <w:rsid w:val="F4CE5B53"/>
    <w:rsid w:val="F516B0E3"/>
    <w:rsid w:val="F518A7F4"/>
    <w:rsid w:val="F568ACA4"/>
    <w:rsid w:val="F57AE5E4"/>
    <w:rsid w:val="F5B9A38D"/>
    <w:rsid w:val="F5C7B014"/>
    <w:rsid w:val="F5CA1D5A"/>
    <w:rsid w:val="F5D95115"/>
    <w:rsid w:val="F608856A"/>
    <w:rsid w:val="F60DE75A"/>
    <w:rsid w:val="F62191F1"/>
    <w:rsid w:val="F627091F"/>
    <w:rsid w:val="F65AB564"/>
    <w:rsid w:val="F66A70CF"/>
    <w:rsid w:val="F68B1414"/>
    <w:rsid w:val="F6C9E12B"/>
    <w:rsid w:val="F71F7929"/>
    <w:rsid w:val="F723DEB9"/>
    <w:rsid w:val="F7258756"/>
    <w:rsid w:val="F765ACC6"/>
    <w:rsid w:val="F76D025F"/>
    <w:rsid w:val="F783AC62"/>
    <w:rsid w:val="F796E7DB"/>
    <w:rsid w:val="F7AFB7AA"/>
    <w:rsid w:val="F7F46BBA"/>
    <w:rsid w:val="F825480F"/>
    <w:rsid w:val="F82BD313"/>
    <w:rsid w:val="F83135B0"/>
    <w:rsid w:val="F835998B"/>
    <w:rsid w:val="F863655B"/>
    <w:rsid w:val="F874B59B"/>
    <w:rsid w:val="F88EDFA6"/>
    <w:rsid w:val="F898208A"/>
    <w:rsid w:val="F8CAFCD9"/>
    <w:rsid w:val="F92D6EDD"/>
    <w:rsid w:val="F94B1A59"/>
    <w:rsid w:val="F952FD97"/>
    <w:rsid w:val="F962F931"/>
    <w:rsid w:val="F970E409"/>
    <w:rsid w:val="F98FFB98"/>
    <w:rsid w:val="F990E683"/>
    <w:rsid w:val="F9A176F3"/>
    <w:rsid w:val="F9A19B73"/>
    <w:rsid w:val="F9DB54AF"/>
    <w:rsid w:val="F9DC1675"/>
    <w:rsid w:val="FA3325BA"/>
    <w:rsid w:val="FA3B1552"/>
    <w:rsid w:val="FA695EF0"/>
    <w:rsid w:val="FA7CC2F9"/>
    <w:rsid w:val="FA902FA0"/>
    <w:rsid w:val="FA91F5F0"/>
    <w:rsid w:val="FABF3EEB"/>
    <w:rsid w:val="FACDC3D4"/>
    <w:rsid w:val="FAE4FBB5"/>
    <w:rsid w:val="FAE91886"/>
    <w:rsid w:val="FAF47623"/>
    <w:rsid w:val="FB0E3F4D"/>
    <w:rsid w:val="FB1D48FE"/>
    <w:rsid w:val="FB202819"/>
    <w:rsid w:val="FBAA0062"/>
    <w:rsid w:val="FC015777"/>
    <w:rsid w:val="FC2044FD"/>
    <w:rsid w:val="FC2784DF"/>
    <w:rsid w:val="FC436B90"/>
    <w:rsid w:val="FC8C5F46"/>
    <w:rsid w:val="FCFB6E8B"/>
    <w:rsid w:val="FD10D773"/>
    <w:rsid w:val="FD2E5380"/>
    <w:rsid w:val="FD400A1D"/>
    <w:rsid w:val="FD7579A1"/>
    <w:rsid w:val="FD84F958"/>
    <w:rsid w:val="FD8B6BCE"/>
    <w:rsid w:val="FD95D8FF"/>
    <w:rsid w:val="FDF7EE86"/>
    <w:rsid w:val="FDFC20CA"/>
    <w:rsid w:val="FE02AB28"/>
    <w:rsid w:val="FE237C88"/>
    <w:rsid w:val="FE42D5AE"/>
    <w:rsid w:val="FE44CA8E"/>
    <w:rsid w:val="FE4B03E9"/>
    <w:rsid w:val="FE542715"/>
    <w:rsid w:val="FEB1431F"/>
    <w:rsid w:val="FEF101EB"/>
    <w:rsid w:val="FF0DD6E4"/>
    <w:rsid w:val="FF3F94B9"/>
    <w:rsid w:val="FF42C880"/>
    <w:rsid w:val="FF5D1C88"/>
    <w:rsid w:val="FF62075A"/>
    <w:rsid w:val="FF6866F7"/>
    <w:rsid w:val="FFAD3E13"/>
    <w:rsid w:val="FFBE09AB"/>
    <w:rsid w:val="FFD5081E"/>
    <w:rsid w:val="FFFC87F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3">
    <w:name w:val="heading 1"/>
    <w:basedOn w:val="1"/>
    <w:next w:val="1"/>
    <w:qFormat/>
    <w:uiPriority w:val="0"/>
    <w:pPr>
      <w:keepNext/>
      <w:keepLines/>
      <w:jc w:val="center"/>
      <w:outlineLvl w:val="0"/>
    </w:pPr>
    <w:rPr>
      <w:rFonts w:eastAsia="方正黑体_GBK"/>
      <w:b/>
      <w:kern w:val="44"/>
      <w:szCs w:val="44"/>
    </w:rPr>
  </w:style>
  <w:style w:type="character" w:default="1" w:styleId="7">
    <w:name w:val="Default Paragraph Font"/>
    <w:qFormat/>
    <w:uiPriority w:val="0"/>
    <w:rPr>
      <w:rFonts w:ascii="Calibri" w:hAnsi="Calibri" w:eastAsia="宋体" w:cs="宋体"/>
    </w:rPr>
  </w:style>
  <w:style w:type="table" w:default="1" w:styleId="6">
    <w:name w:val="Normal Table"/>
    <w:qFormat/>
    <w:uiPriority w:val="0"/>
    <w:rPr>
      <w:rFonts w:cs="宋体"/>
    </w:rPr>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rFonts w:ascii="Calibri" w:hAnsi="Calibri" w:eastAsia="宋体" w:cs="宋体"/>
      <w:kern w:val="2"/>
      <w:sz w:val="18"/>
      <w:szCs w:val="18"/>
    </w:rPr>
  </w:style>
  <w:style w:type="character" w:customStyle="1" w:styleId="9">
    <w:name w:val="页脚 Char"/>
    <w:basedOn w:val="7"/>
    <w:link w:val="4"/>
    <w:qFormat/>
    <w:uiPriority w:val="99"/>
    <w:rPr>
      <w:rFonts w:ascii="Calibri" w:hAnsi="Calibri" w:eastAsia="宋体" w:cs="宋体"/>
      <w:kern w:val="2"/>
      <w:sz w:val="18"/>
      <w:szCs w:val="18"/>
    </w:rPr>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Pages>
  <Words>5811</Words>
  <Characters>6367</Characters>
  <Lines>53</Lines>
  <Paragraphs>15</Paragraphs>
  <TotalTime>12</TotalTime>
  <ScaleCrop>false</ScaleCrop>
  <LinksUpToDate>false</LinksUpToDate>
  <CharactersWithSpaces>6453</CharactersWithSpaces>
  <Application>WPS Office_11.1.0.11636_F1E327BC-269C-435d-A152-05C5408002CA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2022-02-03T02:54:00Z</dcterms:created>
  <dc:creator>320979@qq.com</dc:creator>
  <cp:lastModifiedBy>段儿</cp:lastModifiedBy>
  <cp:lastPrinted>2022-02-18T06:49:00Z</cp:lastPrinted>
  <dcterms:modified xsi:type="dcterms:W3CDTF">2022-05-18T07:25:49Z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04843C5931864882B7B0FDE91C6AED58</vt:lpwstr>
  </property>
</Properties>
</file>