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060" w:type="dxa"/>
        <w:jc w:val="center"/>
        <w:tblInd w:w="0"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60"/>
      </w:tblGrid>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PrEx>
        <w:trPr>
          <w:cantSplit/>
          <w:trHeight w:val="2483" w:hRule="exact"/>
          <w:jc w:val="center"/>
        </w:trPr>
        <w:tc>
          <w:tcPr>
            <w:tcW w:w="9060" w:type="dxa"/>
            <w:vAlign w:val="center"/>
          </w:tcPr>
          <w:p>
            <w:pPr>
              <w:jc w:val="center"/>
              <w:rPr>
                <w:rFonts w:ascii="方正小标宋_GBK" w:hAnsi="华文中宋" w:eastAsia="方正小标宋_GBK"/>
                <w:color w:val="FF0000"/>
                <w:sz w:val="130"/>
                <w:szCs w:val="130"/>
              </w:rPr>
            </w:pPr>
            <w:r>
              <w:rPr>
                <w:rFonts w:hint="eastAsia" w:ascii="方正小标宋_GBK" w:hAnsi="华文中宋" w:eastAsia="方正小标宋_GBK"/>
                <w:color w:val="FF0000"/>
                <w:sz w:val="130"/>
                <w:szCs w:val="130"/>
              </w:rPr>
              <w:t>会议纪要</w:t>
            </w: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PrEx>
        <w:trPr>
          <w:cantSplit/>
          <w:trHeight w:val="618" w:hRule="exact"/>
          <w:jc w:val="center"/>
        </w:trPr>
        <w:tc>
          <w:tcPr>
            <w:tcW w:w="9060" w:type="dxa"/>
            <w:vAlign w:val="bottom"/>
          </w:tcPr>
          <w:p>
            <w:pPr>
              <w:spacing w:line="600" w:lineRule="exact"/>
              <w:jc w:val="center"/>
              <w:rPr>
                <w:rFonts w:hint="default" w:eastAsia="仿宋_GB2312"/>
                <w:sz w:val="32"/>
                <w:lang w:val="en-US" w:eastAsia="zh-CN"/>
              </w:rPr>
            </w:pPr>
            <w:r>
              <w:rPr>
                <w:rFonts w:hint="eastAsia" w:eastAsia="仿宋_GB2312"/>
                <w:sz w:val="32"/>
                <w:lang w:val="en-US" w:eastAsia="zh-CN"/>
              </w:rPr>
              <w:t>2022</w:t>
            </w:r>
            <w:r>
              <w:rPr>
                <w:rFonts w:hint="eastAsia" w:ascii="宋体" w:hAnsi="宋体" w:eastAsia="宋体" w:cs="宋体"/>
                <w:sz w:val="32"/>
                <w:lang w:val="en-US" w:eastAsia="zh-CN"/>
              </w:rPr>
              <w:t>－</w:t>
            </w:r>
            <w:r>
              <w:rPr>
                <w:rFonts w:hint="eastAsia" w:eastAsia="仿宋_GB2312"/>
                <w:sz w:val="32"/>
                <w:lang w:val="en-US" w:eastAsia="zh-CN"/>
              </w:rPr>
              <w:t>2</w:t>
            </w:r>
          </w:p>
        </w:tc>
      </w:tr>
      <w:tr>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626" w:hRule="exact"/>
          <w:jc w:val="center"/>
        </w:trPr>
        <w:tc>
          <w:tcPr>
            <w:tcW w:w="9060" w:type="dxa"/>
            <w:vAlign w:val="bottom"/>
          </w:tcPr>
          <w:p>
            <w:pPr>
              <w:spacing w:line="600" w:lineRule="exact"/>
              <w:rPr>
                <w:rFonts w:eastAsia="仿宋_GB2312"/>
                <w:sz w:val="32"/>
              </w:rPr>
            </w:pPr>
            <w:r>
              <w:rPr>
                <w:rFonts w:ascii="方正小标宋简体" w:hAnsi="华文中宋" w:eastAsia="方正小标宋简体"/>
                <w:color w:val="FF0000"/>
                <w:sz w:val="100"/>
                <w:szCs w:val="100"/>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403860</wp:posOffset>
                      </wp:positionV>
                      <wp:extent cx="5829300" cy="0"/>
                      <wp:effectExtent l="0" t="10160" r="0" b="18415"/>
                      <wp:wrapNone/>
                      <wp:docPr id="3" name="直接连接符 3"/>
                      <wp:cNvGraphicFramePr/>
                      <a:graphic xmlns:a="http://schemas.openxmlformats.org/drawingml/2006/main">
                        <a:graphicData uri="http://schemas.microsoft.com/office/word/2010/wordprocessingShape">
                          <wps:wsp>
                            <wps:cNvCnPr/>
                            <wps:spPr>
                              <a:xfrm>
                                <a:off x="0" y="0"/>
                                <a:ext cx="5829300" cy="0"/>
                              </a:xfrm>
                              <a:prstGeom prst="line">
                                <a:avLst/>
                              </a:prstGeom>
                              <a:ln w="2095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65pt;margin-top:31.8pt;height:0pt;width:459pt;z-index:251659264;mso-width-relative:page;mso-height-relative:page;" filled="f" stroked="t" coordsize="21600,21600" o:gfxdata="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VYeWvYAAAACAEAAA8AAAAAAAAAAQAg&#10;AAAAIgAAAGRycy9kb3ducmV2LnhtbFBLAQIUABQAAAAIAIdO4kCAq+WK1QEAAIsDAAAOAAAAAAAA&#10;AAEAIAAAACcBAABkcnMvZTJvRG9jLnhtbFBLBQYAAAAABgAGAFkBAABuBQAAAAA=&#10;">
                      <v:fill on="f" focussize="0,0"/>
                      <v:stroke weight="1.65pt" color="#FF0000" joinstyle="round"/>
                      <v:imagedata o:title=""/>
                      <o:lock v:ext="edit" aspectratio="f"/>
                    </v:line>
                  </w:pict>
                </mc:Fallback>
              </mc:AlternateContent>
            </w:r>
            <w:r>
              <w:rPr>
                <w:rFonts w:hint="eastAsia" w:eastAsia="仿宋_GB2312"/>
                <w:spacing w:val="-20"/>
                <w:sz w:val="32"/>
              </w:rPr>
              <w:t xml:space="preserve"> </w:t>
            </w:r>
            <w:r>
              <w:rPr>
                <w:rFonts w:eastAsia="方正仿宋_GBK"/>
                <w:color w:val="000000" w:themeColor="text1"/>
                <w:spacing w:val="-20"/>
                <w:sz w:val="32"/>
                <w14:textFill>
                  <w14:solidFill>
                    <w14:schemeClr w14:val="tx1"/>
                  </w14:solidFill>
                </w14:textFill>
              </w:rPr>
              <w:t>重庆市</w:t>
            </w:r>
            <w:r>
              <w:rPr>
                <w:rFonts w:eastAsia="方正仿宋_GBK"/>
                <w:spacing w:val="-20"/>
                <w:sz w:val="32"/>
              </w:rPr>
              <w:t>渝北不动产登记</w:t>
            </w:r>
            <w:r>
              <w:rPr>
                <w:rFonts w:eastAsia="方正仿宋_GBK"/>
                <w:color w:val="000000" w:themeColor="text1"/>
                <w:spacing w:val="-20"/>
                <w:sz w:val="32"/>
                <w14:textFill>
                  <w14:solidFill>
                    <w14:schemeClr w14:val="tx1"/>
                  </w14:solidFill>
                </w14:textFill>
              </w:rPr>
              <w:t xml:space="preserve">中心                         </w:t>
            </w:r>
            <w:r>
              <w:rPr>
                <w:rFonts w:hint="eastAsia" w:eastAsia="方正仿宋_GBK"/>
                <w:color w:val="000000" w:themeColor="text1"/>
                <w:spacing w:val="-20"/>
                <w:sz w:val="32"/>
                <w14:textFill>
                  <w14:solidFill>
                    <w14:schemeClr w14:val="tx1"/>
                  </w14:solidFill>
                </w14:textFill>
              </w:rPr>
              <w:t xml:space="preserve">  </w:t>
            </w:r>
            <w:r>
              <w:rPr>
                <w:rFonts w:hint="eastAsia" w:eastAsia="方正仿宋_GBK"/>
                <w:color w:val="000000" w:themeColor="text1"/>
                <w:spacing w:val="-20"/>
                <w:sz w:val="32"/>
                <w:lang w:val="en-US" w:eastAsia="zh-CN"/>
                <w14:textFill>
                  <w14:solidFill>
                    <w14:schemeClr w14:val="tx1"/>
                  </w14:solidFill>
                </w14:textFill>
              </w:rPr>
              <w:t xml:space="preserve">  </w:t>
            </w:r>
            <w:r>
              <w:rPr>
                <w:rFonts w:eastAsia="方正仿宋_GBK"/>
                <w:color w:val="000000" w:themeColor="text1"/>
                <w:spacing w:val="-20"/>
                <w:sz w:val="32"/>
                <w14:textFill>
                  <w14:solidFill>
                    <w14:schemeClr w14:val="tx1"/>
                  </w14:solidFill>
                </w14:textFill>
              </w:rPr>
              <w:t>202</w:t>
            </w:r>
            <w:r>
              <w:rPr>
                <w:rFonts w:hint="eastAsia" w:eastAsia="方正仿宋_GBK"/>
                <w:color w:val="000000" w:themeColor="text1"/>
                <w:spacing w:val="-20"/>
                <w:sz w:val="32"/>
                <w:lang w:val="en-US" w:eastAsia="zh-CN"/>
                <w14:textFill>
                  <w14:solidFill>
                    <w14:schemeClr w14:val="tx1"/>
                  </w14:solidFill>
                </w14:textFill>
              </w:rPr>
              <w:t>2</w:t>
            </w:r>
            <w:r>
              <w:rPr>
                <w:rFonts w:eastAsia="方正仿宋_GBK"/>
                <w:color w:val="000000" w:themeColor="text1"/>
                <w:spacing w:val="-20"/>
                <w:sz w:val="32"/>
                <w14:textFill>
                  <w14:solidFill>
                    <w14:schemeClr w14:val="tx1"/>
                  </w14:solidFill>
                </w14:textFill>
              </w:rPr>
              <w:t>年</w:t>
            </w:r>
            <w:r>
              <w:rPr>
                <w:rFonts w:hint="eastAsia" w:eastAsia="方正仿宋_GBK"/>
                <w:color w:val="000000" w:themeColor="text1"/>
                <w:spacing w:val="-20"/>
                <w:sz w:val="32"/>
                <w:lang w:val="en-US" w:eastAsia="zh-CN"/>
                <w14:textFill>
                  <w14:solidFill>
                    <w14:schemeClr w14:val="tx1"/>
                  </w14:solidFill>
                </w14:textFill>
              </w:rPr>
              <w:t>3</w:t>
            </w:r>
            <w:r>
              <w:rPr>
                <w:rFonts w:eastAsia="方正仿宋_GBK"/>
                <w:color w:val="000000" w:themeColor="text1"/>
                <w:spacing w:val="-20"/>
                <w:sz w:val="32"/>
                <w14:textFill>
                  <w14:solidFill>
                    <w14:schemeClr w14:val="tx1"/>
                  </w14:solidFill>
                </w14:textFill>
              </w:rPr>
              <w:t>月</w:t>
            </w:r>
            <w:r>
              <w:rPr>
                <w:rFonts w:hint="eastAsia" w:eastAsia="方正仿宋_GBK"/>
                <w:color w:val="000000" w:themeColor="text1"/>
                <w:spacing w:val="-20"/>
                <w:sz w:val="32"/>
                <w:lang w:val="en-US" w:eastAsia="zh-CN"/>
                <w14:textFill>
                  <w14:solidFill>
                    <w14:schemeClr w14:val="tx1"/>
                  </w14:solidFill>
                </w14:textFill>
              </w:rPr>
              <w:t>3</w:t>
            </w:r>
            <w:r>
              <w:rPr>
                <w:rFonts w:eastAsia="方正仿宋_GBK"/>
                <w:color w:val="000000" w:themeColor="text1"/>
                <w:spacing w:val="-20"/>
                <w:sz w:val="32"/>
                <w14:textFill>
                  <w14:solidFill>
                    <w14:schemeClr w14:val="tx1"/>
                  </w14:solidFill>
                </w14:textFill>
              </w:rPr>
              <w:t>日</w:t>
            </w:r>
          </w:p>
        </w:tc>
      </w:tr>
    </w:tbl>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小标宋简体" w:hAnsi="华文中宋" w:eastAsia="方正小标宋简体"/>
          <w:bCs/>
          <w:snapToGrid w:val="0"/>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color w:val="000000"/>
          <w:sz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hint="eastAsia" w:ascii="方正小标宋简体" w:hAnsi="方正小标宋简体" w:eastAsia="方正小标宋简体" w:cs="方正小标宋简体"/>
          <w:color w:val="000000"/>
          <w:sz w:val="44"/>
          <w:lang w:eastAsia="zh-CN"/>
        </w:rPr>
      </w:pPr>
      <w:r>
        <w:rPr>
          <w:rFonts w:hint="eastAsia" w:ascii="方正小标宋简体" w:hAnsi="方正小标宋简体" w:eastAsia="方正小标宋简体" w:cs="方正小标宋简体"/>
          <w:color w:val="000000"/>
          <w:sz w:val="44"/>
          <w:lang w:eastAsia="zh-CN"/>
        </w:rPr>
        <w:t>重庆市</w:t>
      </w:r>
      <w:r>
        <w:rPr>
          <w:rFonts w:hint="eastAsia" w:ascii="方正小标宋简体" w:hAnsi="方正小标宋简体" w:eastAsia="方正小标宋简体" w:cs="方正小标宋简体"/>
          <w:color w:val="000000"/>
          <w:sz w:val="44"/>
        </w:rPr>
        <w:t>渝北不动产登记</w:t>
      </w:r>
      <w:r>
        <w:rPr>
          <w:rFonts w:hint="eastAsia" w:ascii="方正小标宋简体" w:hAnsi="方正小标宋简体" w:eastAsia="方正小标宋简体" w:cs="方正小标宋简体"/>
          <w:color w:val="000000"/>
          <w:sz w:val="44"/>
          <w:lang w:eastAsia="zh-CN"/>
        </w:rPr>
        <w:t>中心</w:t>
      </w:r>
    </w:p>
    <w:p>
      <w:pPr>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ascii="仿宋_GB2312" w:eastAsia="仿宋_GB2312"/>
          <w:sz w:val="44"/>
        </w:rPr>
      </w:pPr>
      <w:r>
        <w:rPr>
          <w:rFonts w:hint="eastAsia" w:ascii="方正小标宋简体" w:hAnsi="方正小标宋简体" w:eastAsia="方正小标宋简体" w:cs="方正小标宋简体"/>
          <w:color w:val="000000"/>
          <w:sz w:val="44"/>
        </w:rPr>
        <w:t>业务分析会会议纪要</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left="0"/>
        <w:textAlignment w:val="auto"/>
        <w:rPr>
          <w:rFonts w:ascii="仿宋_GB2312" w:eastAsia="仿宋_GB2312"/>
        </w:rPr>
      </w:pP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eastAsia="方正仿宋_GBK"/>
          <w:sz w:val="32"/>
          <w:szCs w:val="32"/>
        </w:rPr>
      </w:pPr>
      <w:r>
        <w:rPr>
          <w:rFonts w:eastAsia="方正仿宋_GBK"/>
          <w:sz w:val="32"/>
          <w:szCs w:val="32"/>
        </w:rPr>
        <w:t>2022</w:t>
      </w:r>
      <w:r>
        <w:rPr>
          <w:rFonts w:hint="eastAsia" w:eastAsia="方正仿宋_GBK"/>
          <w:sz w:val="32"/>
          <w:szCs w:val="32"/>
        </w:rPr>
        <w:t>年</w:t>
      </w:r>
      <w:r>
        <w:rPr>
          <w:rFonts w:eastAsia="方正仿宋_GBK"/>
          <w:sz w:val="32"/>
          <w:szCs w:val="32"/>
        </w:rPr>
        <w:t>2</w:t>
      </w:r>
      <w:r>
        <w:rPr>
          <w:rFonts w:hint="eastAsia" w:eastAsia="方正仿宋_GBK"/>
          <w:sz w:val="32"/>
          <w:szCs w:val="32"/>
        </w:rPr>
        <w:t>月</w:t>
      </w:r>
      <w:r>
        <w:rPr>
          <w:rFonts w:eastAsia="方正仿宋_GBK"/>
          <w:sz w:val="32"/>
          <w:szCs w:val="32"/>
        </w:rPr>
        <w:t>16</w:t>
      </w:r>
      <w:r>
        <w:rPr>
          <w:rFonts w:hint="eastAsia" w:eastAsia="方正仿宋_GBK"/>
          <w:sz w:val="32"/>
          <w:szCs w:val="32"/>
        </w:rPr>
        <w:t>日，中心副主任</w:t>
      </w:r>
      <w:r>
        <w:rPr>
          <w:rFonts w:hint="eastAsia" w:ascii="方正仿宋_GBK" w:eastAsia="方正仿宋_GBK"/>
          <w:sz w:val="32"/>
          <w:szCs w:val="32"/>
        </w:rPr>
        <w:t>何显</w:t>
      </w:r>
      <w:r>
        <w:rPr>
          <w:rFonts w:ascii="方正仿宋_GBK" w:eastAsia="方正仿宋_GBK"/>
          <w:sz w:val="32"/>
          <w:szCs w:val="32"/>
        </w:rPr>
        <w:t>华</w:t>
      </w:r>
      <w:r>
        <w:rPr>
          <w:rFonts w:hint="eastAsia" w:eastAsia="方正仿宋_GBK"/>
          <w:sz w:val="32"/>
          <w:szCs w:val="32"/>
        </w:rPr>
        <w:t>在一会议室主持召开不动产</w:t>
      </w:r>
      <w:r>
        <w:rPr>
          <w:rFonts w:eastAsia="方正仿宋_GBK"/>
          <w:sz w:val="32"/>
          <w:szCs w:val="32"/>
        </w:rPr>
        <w:t>登记</w:t>
      </w:r>
      <w:r>
        <w:rPr>
          <w:rFonts w:hint="eastAsia" w:eastAsia="方正仿宋_GBK"/>
          <w:sz w:val="32"/>
          <w:szCs w:val="32"/>
        </w:rPr>
        <w:t>业务</w:t>
      </w:r>
      <w:r>
        <w:rPr>
          <w:rFonts w:eastAsia="方正仿宋_GBK"/>
          <w:sz w:val="32"/>
          <w:szCs w:val="32"/>
        </w:rPr>
        <w:t>分析</w:t>
      </w:r>
      <w:r>
        <w:rPr>
          <w:rFonts w:hint="eastAsia" w:eastAsia="方正仿宋_GBK"/>
          <w:sz w:val="32"/>
          <w:szCs w:val="32"/>
        </w:rPr>
        <w:t>会，现将会议议定事项纪要如下：</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工业用地上的办公用房、宿舍、仓库、食堂等房屋登记用途问题</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eastAsia="方正仿宋_GBK"/>
          <w:sz w:val="32"/>
          <w:szCs w:val="32"/>
        </w:rPr>
      </w:pPr>
      <w:r>
        <w:rPr>
          <w:rFonts w:hint="eastAsia" w:ascii="方正仿宋_GBK" w:eastAsia="方正仿宋_GBK"/>
          <w:sz w:val="32"/>
          <w:szCs w:val="32"/>
        </w:rPr>
        <w:t>工业用地上的办公用房、宿舍、仓库、食堂等</w:t>
      </w:r>
      <w:r>
        <w:rPr>
          <w:rFonts w:ascii="方正仿宋_GBK" w:eastAsia="方正仿宋_GBK"/>
          <w:sz w:val="32"/>
          <w:szCs w:val="32"/>
        </w:rPr>
        <w:t>房屋，</w:t>
      </w:r>
      <w:r>
        <w:rPr>
          <w:rFonts w:hint="eastAsia" w:ascii="方正仿宋_GBK" w:eastAsia="方正仿宋_GBK"/>
          <w:sz w:val="32"/>
          <w:szCs w:val="32"/>
        </w:rPr>
        <w:t>建立房屋楼盘和</w:t>
      </w:r>
      <w:r>
        <w:rPr>
          <w:rFonts w:ascii="方正仿宋_GBK" w:eastAsia="方正仿宋_GBK"/>
          <w:sz w:val="32"/>
          <w:szCs w:val="32"/>
        </w:rPr>
        <w:t>初始登记时房屋用途统一为</w:t>
      </w:r>
      <w:r>
        <w:rPr>
          <w:rFonts w:hint="eastAsia" w:ascii="方正仿宋_GBK" w:eastAsia="方正仿宋_GBK"/>
          <w:sz w:val="32"/>
          <w:szCs w:val="32"/>
        </w:rPr>
        <w:t>“</w:t>
      </w:r>
      <w:r>
        <w:rPr>
          <w:rFonts w:ascii="方正仿宋_GBK" w:eastAsia="方正仿宋_GBK"/>
          <w:sz w:val="32"/>
          <w:szCs w:val="32"/>
        </w:rPr>
        <w:t>工业</w:t>
      </w:r>
      <w:r>
        <w:rPr>
          <w:rFonts w:hint="eastAsia" w:ascii="方正仿宋_GBK" w:eastAsia="方正仿宋_GBK"/>
          <w:sz w:val="32"/>
          <w:szCs w:val="32"/>
        </w:rPr>
        <w:t>”</w:t>
      </w:r>
      <w:r>
        <w:rPr>
          <w:rFonts w:ascii="方正仿宋_GBK" w:eastAsia="方正仿宋_GBK"/>
          <w:sz w:val="32"/>
          <w:szCs w:val="32"/>
        </w:rPr>
        <w:t>，同时根据规划明确的</w:t>
      </w:r>
      <w:r>
        <w:rPr>
          <w:rFonts w:hint="eastAsia" w:ascii="方正仿宋_GBK" w:eastAsia="方正仿宋_GBK"/>
          <w:sz w:val="32"/>
          <w:szCs w:val="32"/>
        </w:rPr>
        <w:t>具体</w:t>
      </w:r>
      <w:r>
        <w:rPr>
          <w:rFonts w:ascii="方正仿宋_GBK" w:eastAsia="方正仿宋_GBK"/>
          <w:sz w:val="32"/>
          <w:szCs w:val="32"/>
        </w:rPr>
        <w:t>房屋用途</w:t>
      </w:r>
      <w:r>
        <w:rPr>
          <w:rFonts w:hint="eastAsia" w:ascii="方正仿宋_GBK" w:eastAsia="方正仿宋_GBK"/>
          <w:sz w:val="32"/>
          <w:szCs w:val="32"/>
        </w:rPr>
        <w:t>在</w:t>
      </w:r>
      <w:r>
        <w:rPr>
          <w:rFonts w:ascii="方正仿宋_GBK" w:eastAsia="方正仿宋_GBK"/>
          <w:sz w:val="32"/>
          <w:szCs w:val="32"/>
        </w:rPr>
        <w:t>权证附记栏备注。</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二、</w:t>
      </w:r>
      <w:r>
        <w:rPr>
          <w:rFonts w:ascii="黑体" w:hAnsi="黑体" w:eastAsia="黑体" w:cs="黑体"/>
          <w:sz w:val="32"/>
          <w:szCs w:val="32"/>
        </w:rPr>
        <w:t>普通工业项目不分摊共有部分登记问题</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eastAsia="方正仿宋_GBK"/>
          <w:color w:val="000000" w:themeColor="text1"/>
          <w:sz w:val="32"/>
          <w:szCs w:val="32"/>
          <w14:textFill>
            <w14:solidFill>
              <w14:schemeClr w14:val="tx1"/>
            </w14:solidFill>
          </w14:textFill>
        </w:rPr>
      </w:pPr>
      <w:r>
        <w:rPr>
          <w:rFonts w:hint="eastAsia" w:eastAsia="方正仿宋_GBK"/>
          <w:sz w:val="32"/>
          <w:szCs w:val="32"/>
        </w:rPr>
        <w:t>普通工业项目及单位自建项目拥有独立产权的房屋，初始登记时一并将不分摊的共有部分面积（含为多幢房屋服务的配套设施设备用房）进行登记、发证，在登记</w:t>
      </w:r>
      <w:r>
        <w:rPr>
          <w:rFonts w:eastAsia="方正仿宋_GBK"/>
          <w:sz w:val="32"/>
          <w:szCs w:val="32"/>
        </w:rPr>
        <w:t>簙和</w:t>
      </w:r>
      <w:r>
        <w:rPr>
          <w:rFonts w:hint="eastAsia" w:eastAsia="方正仿宋_GBK"/>
          <w:sz w:val="32"/>
          <w:szCs w:val="32"/>
        </w:rPr>
        <w:t>证附记栏备注“其中不分摊的共有部分面积”情况，</w:t>
      </w:r>
      <w:r>
        <w:rPr>
          <w:rFonts w:hint="eastAsia" w:eastAsia="方正仿宋_GBK"/>
          <w:color w:val="000000" w:themeColor="text1"/>
          <w:sz w:val="32"/>
          <w:szCs w:val="32"/>
          <w14:textFill>
            <w14:solidFill>
              <w14:schemeClr w14:val="tx1"/>
            </w14:solidFill>
          </w14:textFill>
        </w:rPr>
        <w:t xml:space="preserve">楼盘标注不可售。   </w:t>
      </w:r>
    </w:p>
    <w:p>
      <w:pPr>
        <w:keepNext w:val="0"/>
        <w:keepLines w:val="0"/>
        <w:pageBreakBefore w:val="0"/>
        <w:widowControl w:val="0"/>
        <w:kinsoku/>
        <w:wordWrap/>
        <w:topLinePunct w:val="0"/>
        <w:autoSpaceDE/>
        <w:autoSpaceDN/>
        <w:bidi w:val="0"/>
        <w:adjustRightInd/>
        <w:spacing w:line="594" w:lineRule="exact"/>
        <w:ind w:left="0" w:firstLine="640" w:firstLineChars="200"/>
        <w:textAlignment w:val="auto"/>
        <w:rPr>
          <w:rFonts w:eastAsia="方正仿宋_GBK"/>
          <w:sz w:val="32"/>
          <w:szCs w:val="32"/>
        </w:rPr>
      </w:pPr>
      <w:r>
        <w:rPr>
          <w:rFonts w:hint="eastAsia" w:eastAsia="方正仿宋_GBK"/>
          <w:sz w:val="32"/>
          <w:szCs w:val="32"/>
        </w:rPr>
        <w:t>产权人后续办理房屋抵押登记时，该项目房屋应整体抵押。产权人将房屋分幢抵押的，抵押权人应表明知晓该房屋为普通工业项目，实现债权时需与该工业项目其他房屋整体处置。</w:t>
      </w:r>
    </w:p>
    <w:p>
      <w:pPr>
        <w:keepNext w:val="0"/>
        <w:keepLines w:val="0"/>
        <w:pageBreakBefore w:val="0"/>
        <w:widowControl w:val="0"/>
        <w:kinsoku/>
        <w:wordWrap/>
        <w:topLinePunct w:val="0"/>
        <w:autoSpaceDE/>
        <w:autoSpaceDN/>
        <w:bidi w:val="0"/>
        <w:adjustRightInd/>
        <w:spacing w:line="594" w:lineRule="exact"/>
        <w:ind w:left="0" w:firstLine="640" w:firstLineChars="200"/>
        <w:textAlignment w:val="auto"/>
        <w:rPr>
          <w:rFonts w:ascii="黑体" w:hAnsi="黑体" w:eastAsia="黑体" w:cs="黑体"/>
          <w:sz w:val="32"/>
          <w:szCs w:val="32"/>
        </w:rPr>
      </w:pPr>
      <w:r>
        <w:rPr>
          <w:rFonts w:ascii="黑体" w:hAnsi="黑体" w:eastAsia="黑体" w:cs="黑体"/>
          <w:sz w:val="32"/>
          <w:szCs w:val="32"/>
        </w:rPr>
        <w:t>三、</w:t>
      </w:r>
      <w:r>
        <w:rPr>
          <w:rFonts w:hint="eastAsia" w:ascii="黑体" w:hAnsi="黑体" w:eastAsia="黑体" w:cs="黑体"/>
          <w:sz w:val="32"/>
          <w:szCs w:val="32"/>
        </w:rPr>
        <w:t>商品房不分摊</w:t>
      </w:r>
      <w:r>
        <w:rPr>
          <w:rFonts w:ascii="黑体" w:hAnsi="黑体" w:eastAsia="黑体" w:cs="黑体"/>
          <w:sz w:val="32"/>
          <w:szCs w:val="32"/>
        </w:rPr>
        <w:t>共有部分</w:t>
      </w:r>
      <w:r>
        <w:rPr>
          <w:rFonts w:hint="eastAsia" w:ascii="黑体" w:hAnsi="黑体" w:eastAsia="黑体" w:cs="黑体"/>
          <w:sz w:val="32"/>
          <w:szCs w:val="32"/>
        </w:rPr>
        <w:t>登记问题</w:t>
      </w:r>
    </w:p>
    <w:p>
      <w:pPr>
        <w:keepNext w:val="0"/>
        <w:keepLines w:val="0"/>
        <w:pageBreakBefore w:val="0"/>
        <w:widowControl w:val="0"/>
        <w:kinsoku/>
        <w:wordWrap/>
        <w:topLinePunct w:val="0"/>
        <w:autoSpaceDE/>
        <w:autoSpaceDN/>
        <w:bidi w:val="0"/>
        <w:adjustRightInd/>
        <w:spacing w:line="594" w:lineRule="exact"/>
        <w:ind w:left="0" w:firstLine="640" w:firstLineChars="200"/>
        <w:textAlignment w:val="auto"/>
        <w:rPr>
          <w:rFonts w:eastAsia="方正仿宋_GBK"/>
          <w:sz w:val="32"/>
          <w:szCs w:val="32"/>
        </w:rPr>
      </w:pPr>
      <w:r>
        <w:rPr>
          <w:rFonts w:hint="eastAsia" w:eastAsia="方正仿宋_GBK"/>
          <w:sz w:val="32"/>
          <w:szCs w:val="32"/>
        </w:rPr>
        <w:t>根据</w:t>
      </w:r>
      <w:r>
        <w:rPr>
          <w:rFonts w:eastAsia="方正仿宋_GBK"/>
          <w:sz w:val="32"/>
          <w:szCs w:val="32"/>
        </w:rPr>
        <w:t>《</w:t>
      </w:r>
      <w:r>
        <w:rPr>
          <w:rFonts w:hint="eastAsia" w:eastAsia="方正仿宋_GBK"/>
          <w:sz w:val="32"/>
          <w:szCs w:val="32"/>
        </w:rPr>
        <w:t>不动产</w:t>
      </w:r>
      <w:r>
        <w:rPr>
          <w:rFonts w:eastAsia="方正仿宋_GBK"/>
          <w:sz w:val="32"/>
          <w:szCs w:val="32"/>
        </w:rPr>
        <w:t>登记操作规范</w:t>
      </w:r>
      <w:r>
        <w:rPr>
          <w:rFonts w:hint="eastAsia" w:eastAsia="方正仿宋_GBK"/>
          <w:sz w:val="32"/>
          <w:szCs w:val="32"/>
        </w:rPr>
        <w:t>（试行）</w:t>
      </w:r>
      <w:r>
        <w:rPr>
          <w:rFonts w:eastAsia="方正仿宋_GBK"/>
          <w:sz w:val="32"/>
          <w:szCs w:val="32"/>
        </w:rPr>
        <w:t>》</w:t>
      </w:r>
      <w:r>
        <w:rPr>
          <w:rFonts w:hint="eastAsia" w:eastAsia="方正仿宋_GBK"/>
          <w:sz w:val="32"/>
          <w:szCs w:val="32"/>
        </w:rPr>
        <w:t>有关</w:t>
      </w:r>
      <w:r>
        <w:rPr>
          <w:rFonts w:eastAsia="方正仿宋_GBK"/>
          <w:sz w:val="32"/>
          <w:szCs w:val="32"/>
        </w:rPr>
        <w:t>规定，建设单位</w:t>
      </w:r>
      <w:r>
        <w:rPr>
          <w:rFonts w:hint="eastAsia" w:eastAsia="方正仿宋_GBK"/>
          <w:sz w:val="32"/>
          <w:szCs w:val="32"/>
        </w:rPr>
        <w:t>申请房屋初始登记时，需</w:t>
      </w:r>
      <w:r>
        <w:rPr>
          <w:rFonts w:eastAsia="方正仿宋_GBK"/>
          <w:sz w:val="32"/>
          <w:szCs w:val="32"/>
        </w:rPr>
        <w:t>提供</w:t>
      </w:r>
      <w:r>
        <w:rPr>
          <w:rFonts w:hint="eastAsia" w:eastAsia="方正仿宋_GBK"/>
          <w:sz w:val="32"/>
          <w:szCs w:val="32"/>
        </w:rPr>
        <w:t>《建筑物区分所有权申报表》（见附件），将</w:t>
      </w:r>
      <w:r>
        <w:rPr>
          <w:rFonts w:eastAsia="方正仿宋_GBK"/>
          <w:sz w:val="32"/>
          <w:szCs w:val="32"/>
        </w:rPr>
        <w:t>建筑物区</w:t>
      </w:r>
      <w:r>
        <w:rPr>
          <w:rFonts w:hint="eastAsia" w:eastAsia="方正仿宋_GBK"/>
          <w:sz w:val="32"/>
          <w:szCs w:val="32"/>
        </w:rPr>
        <w:t>划内属于</w:t>
      </w:r>
      <w:r>
        <w:rPr>
          <w:rFonts w:eastAsia="方正仿宋_GBK"/>
          <w:sz w:val="32"/>
          <w:szCs w:val="32"/>
        </w:rPr>
        <w:t>业主共有的其他</w:t>
      </w:r>
      <w:r>
        <w:rPr>
          <w:rFonts w:hint="eastAsia" w:eastAsia="方正仿宋_GBK"/>
          <w:sz w:val="32"/>
          <w:szCs w:val="32"/>
        </w:rPr>
        <w:t>公共</w:t>
      </w:r>
      <w:r>
        <w:rPr>
          <w:rFonts w:eastAsia="方正仿宋_GBK"/>
          <w:sz w:val="32"/>
          <w:szCs w:val="32"/>
        </w:rPr>
        <w:t>场所、公共设施和物业服务用房等一并申请初始登记</w:t>
      </w:r>
      <w:r>
        <w:rPr>
          <w:rFonts w:hint="eastAsia" w:eastAsia="方正仿宋_GBK"/>
          <w:sz w:val="32"/>
          <w:szCs w:val="32"/>
        </w:rPr>
        <w:t>；中心</w:t>
      </w:r>
      <w:r>
        <w:rPr>
          <w:rFonts w:eastAsia="方正仿宋_GBK"/>
          <w:sz w:val="32"/>
          <w:szCs w:val="32"/>
        </w:rPr>
        <w:t>将</w:t>
      </w:r>
      <w:r>
        <w:rPr>
          <w:rFonts w:hint="eastAsia" w:eastAsia="方正仿宋_GBK"/>
          <w:sz w:val="32"/>
          <w:szCs w:val="32"/>
        </w:rPr>
        <w:t>该</w:t>
      </w:r>
      <w:r>
        <w:rPr>
          <w:rFonts w:eastAsia="方正仿宋_GBK"/>
          <w:sz w:val="32"/>
          <w:szCs w:val="32"/>
        </w:rPr>
        <w:t>共有</w:t>
      </w:r>
      <w:r>
        <w:rPr>
          <w:rFonts w:hint="eastAsia" w:eastAsia="方正仿宋_GBK"/>
          <w:sz w:val="32"/>
          <w:szCs w:val="32"/>
        </w:rPr>
        <w:t>部分名称及面积情况</w:t>
      </w:r>
      <w:r>
        <w:rPr>
          <w:rFonts w:eastAsia="方正仿宋_GBK"/>
          <w:sz w:val="32"/>
          <w:szCs w:val="32"/>
        </w:rPr>
        <w:t>记载于登记薄，不</w:t>
      </w:r>
      <w:r>
        <w:rPr>
          <w:rFonts w:hint="eastAsia" w:eastAsia="方正仿宋_GBK"/>
          <w:sz w:val="32"/>
          <w:szCs w:val="32"/>
        </w:rPr>
        <w:t>颁发</w:t>
      </w:r>
      <w:r>
        <w:rPr>
          <w:rFonts w:eastAsia="方正仿宋_GBK"/>
          <w:sz w:val="32"/>
          <w:szCs w:val="32"/>
        </w:rPr>
        <w:t>产权证。</w:t>
      </w:r>
    </w:p>
    <w:p>
      <w:pPr>
        <w:keepNext w:val="0"/>
        <w:keepLines w:val="0"/>
        <w:pageBreakBefore w:val="0"/>
        <w:widowControl w:val="0"/>
        <w:kinsoku/>
        <w:wordWrap/>
        <w:topLinePunct w:val="0"/>
        <w:autoSpaceDE/>
        <w:autoSpaceDN/>
        <w:bidi w:val="0"/>
        <w:adjustRightInd/>
        <w:spacing w:line="594" w:lineRule="exact"/>
        <w:ind w:left="0" w:firstLine="640" w:firstLineChars="200"/>
        <w:textAlignment w:val="auto"/>
        <w:rPr>
          <w:rFonts w:ascii="黑体" w:hAnsi="黑体" w:eastAsia="黑体" w:cs="黑体"/>
          <w:sz w:val="32"/>
          <w:szCs w:val="32"/>
        </w:rPr>
      </w:pPr>
      <w:r>
        <w:rPr>
          <w:rFonts w:ascii="黑体" w:hAnsi="黑体" w:eastAsia="黑体" w:cs="黑体"/>
          <w:sz w:val="32"/>
          <w:szCs w:val="32"/>
        </w:rPr>
        <w:t>四、</w:t>
      </w:r>
      <w:r>
        <w:rPr>
          <w:rFonts w:hint="eastAsia" w:ascii="黑体" w:hAnsi="黑体" w:eastAsia="黑体" w:cs="黑体"/>
          <w:sz w:val="32"/>
          <w:szCs w:val="32"/>
        </w:rPr>
        <w:t>乡镇危旧房重建后，房屋测绘面积与规划验收面积存在误差问题</w:t>
      </w:r>
    </w:p>
    <w:p>
      <w:pPr>
        <w:keepNext w:val="0"/>
        <w:keepLines w:val="0"/>
        <w:pageBreakBefore w:val="0"/>
        <w:widowControl w:val="0"/>
        <w:kinsoku/>
        <w:wordWrap/>
        <w:topLinePunct w:val="0"/>
        <w:autoSpaceDE/>
        <w:autoSpaceDN/>
        <w:bidi w:val="0"/>
        <w:adjustRightInd/>
        <w:spacing w:line="594" w:lineRule="exact"/>
        <w:ind w:left="0" w:firstLine="640" w:firstLineChars="200"/>
        <w:textAlignment w:val="auto"/>
        <w:rPr>
          <w:rFonts w:ascii="方正仿宋_GBK" w:eastAsia="方正仿宋_GBK"/>
          <w:sz w:val="32"/>
          <w:szCs w:val="32"/>
        </w:rPr>
      </w:pPr>
      <w:r>
        <w:rPr>
          <w:rFonts w:hint="eastAsia" w:eastAsia="方正仿宋_GBK"/>
          <w:sz w:val="32"/>
          <w:szCs w:val="32"/>
        </w:rPr>
        <w:t>乡镇</w:t>
      </w:r>
      <w:r>
        <w:rPr>
          <w:rFonts w:eastAsia="方正仿宋_GBK"/>
          <w:sz w:val="32"/>
          <w:szCs w:val="32"/>
        </w:rPr>
        <w:t>危</w:t>
      </w:r>
      <w:r>
        <w:rPr>
          <w:rFonts w:hint="eastAsia" w:eastAsia="方正仿宋_GBK"/>
          <w:sz w:val="32"/>
          <w:szCs w:val="32"/>
        </w:rPr>
        <w:t>旧</w:t>
      </w:r>
      <w:r>
        <w:rPr>
          <w:rFonts w:eastAsia="方正仿宋_GBK"/>
          <w:sz w:val="32"/>
          <w:szCs w:val="32"/>
        </w:rPr>
        <w:t>房重建项目，</w:t>
      </w:r>
      <w:r>
        <w:rPr>
          <w:rFonts w:hint="eastAsia" w:eastAsia="方正仿宋_GBK"/>
          <w:sz w:val="32"/>
          <w:szCs w:val="32"/>
        </w:rPr>
        <w:t>竣工后与</w:t>
      </w:r>
      <w:r>
        <w:rPr>
          <w:rFonts w:eastAsia="方正仿宋_GBK"/>
          <w:sz w:val="32"/>
          <w:szCs w:val="32"/>
        </w:rPr>
        <w:t>原房屋占地面积、楼层、</w:t>
      </w:r>
      <w:r>
        <w:rPr>
          <w:rFonts w:hint="eastAsia" w:eastAsia="方正仿宋_GBK"/>
          <w:sz w:val="32"/>
          <w:szCs w:val="32"/>
        </w:rPr>
        <w:t>房屋外框及</w:t>
      </w:r>
      <w:r>
        <w:rPr>
          <w:rFonts w:eastAsia="方正仿宋_GBK"/>
          <w:sz w:val="32"/>
          <w:szCs w:val="32"/>
        </w:rPr>
        <w:t>规划验收</w:t>
      </w:r>
      <w:r>
        <w:rPr>
          <w:rFonts w:hint="eastAsia" w:eastAsia="方正仿宋_GBK"/>
          <w:sz w:val="32"/>
          <w:szCs w:val="32"/>
        </w:rPr>
        <w:t>范围一致</w:t>
      </w:r>
      <w:r>
        <w:rPr>
          <w:rFonts w:eastAsia="方正仿宋_GBK"/>
          <w:sz w:val="32"/>
          <w:szCs w:val="32"/>
        </w:rPr>
        <w:t>的，</w:t>
      </w:r>
      <w:r>
        <w:rPr>
          <w:rFonts w:hint="eastAsia" w:ascii="方正仿宋_GBK" w:eastAsia="方正仿宋_GBK"/>
          <w:sz w:val="32"/>
          <w:szCs w:val="32"/>
        </w:rPr>
        <w:t>房屋测绘面积与规划验收面积存在误差时，按</w:t>
      </w:r>
      <w:r>
        <w:rPr>
          <w:rFonts w:ascii="方正仿宋_GBK" w:eastAsia="方正仿宋_GBK"/>
          <w:sz w:val="32"/>
          <w:szCs w:val="32"/>
        </w:rPr>
        <w:t>房屋</w:t>
      </w:r>
      <w:r>
        <w:rPr>
          <w:rFonts w:hint="eastAsia" w:ascii="方正仿宋_GBK" w:eastAsia="方正仿宋_GBK"/>
          <w:sz w:val="32"/>
          <w:szCs w:val="32"/>
        </w:rPr>
        <w:t>实际</w:t>
      </w:r>
      <w:r>
        <w:rPr>
          <w:rFonts w:ascii="方正仿宋_GBK" w:eastAsia="方正仿宋_GBK"/>
          <w:sz w:val="32"/>
          <w:szCs w:val="32"/>
        </w:rPr>
        <w:t>测绘面积</w:t>
      </w:r>
      <w:r>
        <w:rPr>
          <w:rFonts w:hint="eastAsia" w:ascii="方正仿宋_GBK" w:eastAsia="方正仿宋_GBK"/>
          <w:sz w:val="32"/>
          <w:szCs w:val="32"/>
        </w:rPr>
        <w:t>办理</w:t>
      </w:r>
      <w:r>
        <w:rPr>
          <w:rFonts w:ascii="方正仿宋_GBK" w:eastAsia="方正仿宋_GBK"/>
          <w:sz w:val="32"/>
          <w:szCs w:val="32"/>
        </w:rPr>
        <w:t>登记</w:t>
      </w:r>
      <w:r>
        <w:rPr>
          <w:rFonts w:hint="eastAsia" w:ascii="方正仿宋_GBK" w:eastAsia="方正仿宋_GBK"/>
          <w:sz w:val="32"/>
          <w:szCs w:val="32"/>
        </w:rPr>
        <w:t>。</w:t>
      </w:r>
    </w:p>
    <w:p>
      <w:pPr>
        <w:keepNext w:val="0"/>
        <w:keepLines w:val="0"/>
        <w:pageBreakBefore w:val="0"/>
        <w:widowControl w:val="0"/>
        <w:numPr>
          <w:ilvl w:val="0"/>
          <w:numId w:val="1"/>
        </w:numPr>
        <w:kinsoku/>
        <w:wordWrap/>
        <w:overflowPunct w:val="0"/>
        <w:topLinePunct w:val="0"/>
        <w:autoSpaceDE/>
        <w:autoSpaceDN/>
        <w:bidi w:val="0"/>
        <w:adjustRightInd/>
        <w:snapToGrid w:val="0"/>
        <w:spacing w:line="594"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产权人现在身份证信息与档案不相符问题</w:t>
      </w:r>
    </w:p>
    <w:p>
      <w:pPr>
        <w:keepNext w:val="0"/>
        <w:keepLines w:val="0"/>
        <w:pageBreakBefore w:val="0"/>
        <w:widowControl w:val="0"/>
        <w:numPr>
          <w:ilvl w:val="0"/>
          <w:numId w:val="0"/>
        </w:numPr>
        <w:kinsoku/>
        <w:wordWrap/>
        <w:overflowPunct w:val="0"/>
        <w:topLinePunct w:val="0"/>
        <w:autoSpaceDE/>
        <w:autoSpaceDN/>
        <w:bidi w:val="0"/>
        <w:adjustRightInd/>
        <w:snapToGrid w:val="0"/>
        <w:spacing w:line="594"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针对</w:t>
      </w:r>
      <w:r>
        <w:rPr>
          <w:rFonts w:ascii="方正仿宋_GBK" w:eastAsia="方正仿宋_GBK"/>
          <w:sz w:val="32"/>
          <w:szCs w:val="32"/>
        </w:rPr>
        <w:t>申请人</w:t>
      </w:r>
      <w:r>
        <w:rPr>
          <w:rFonts w:hint="eastAsia" w:ascii="方正仿宋_GBK" w:eastAsia="方正仿宋_GBK"/>
          <w:sz w:val="32"/>
          <w:szCs w:val="32"/>
        </w:rPr>
        <w:t>提供</w:t>
      </w:r>
      <w:r>
        <w:rPr>
          <w:rFonts w:ascii="方正仿宋_GBK" w:eastAsia="方正仿宋_GBK"/>
          <w:sz w:val="32"/>
          <w:szCs w:val="32"/>
        </w:rPr>
        <w:t>的身份信息材料与</w:t>
      </w:r>
      <w:r>
        <w:rPr>
          <w:rFonts w:hint="eastAsia" w:ascii="方正仿宋_GBK" w:eastAsia="方正仿宋_GBK"/>
          <w:sz w:val="32"/>
          <w:szCs w:val="32"/>
        </w:rPr>
        <w:t>不动产</w:t>
      </w:r>
      <w:r>
        <w:rPr>
          <w:rFonts w:ascii="方正仿宋_GBK" w:eastAsia="方正仿宋_GBK"/>
          <w:sz w:val="32"/>
          <w:szCs w:val="32"/>
        </w:rPr>
        <w:t>登记档案</w:t>
      </w:r>
      <w:r>
        <w:rPr>
          <w:rFonts w:hint="eastAsia" w:ascii="方正仿宋_GBK" w:eastAsia="方正仿宋_GBK"/>
          <w:sz w:val="32"/>
          <w:szCs w:val="32"/>
        </w:rPr>
        <w:t>记载</w:t>
      </w:r>
      <w:r>
        <w:rPr>
          <w:rFonts w:ascii="方正仿宋_GBK" w:eastAsia="方正仿宋_GBK"/>
          <w:sz w:val="32"/>
          <w:szCs w:val="32"/>
        </w:rPr>
        <w:t>内容</w:t>
      </w:r>
      <w:r>
        <w:rPr>
          <w:rFonts w:hint="eastAsia" w:ascii="方正仿宋_GBK" w:eastAsia="方正仿宋_GBK"/>
          <w:sz w:val="32"/>
          <w:szCs w:val="32"/>
        </w:rPr>
        <w:t>存在</w:t>
      </w:r>
      <w:r>
        <w:rPr>
          <w:rFonts w:ascii="方正仿宋_GBK" w:eastAsia="方正仿宋_GBK"/>
          <w:sz w:val="32"/>
          <w:szCs w:val="32"/>
        </w:rPr>
        <w:t>年月日</w:t>
      </w:r>
      <w:r>
        <w:rPr>
          <w:rFonts w:hint="eastAsia" w:ascii="方正仿宋_GBK" w:eastAsia="方正仿宋_GBK"/>
          <w:sz w:val="32"/>
          <w:szCs w:val="32"/>
        </w:rPr>
        <w:t>等</w:t>
      </w:r>
      <w:r>
        <w:rPr>
          <w:rFonts w:ascii="方正仿宋_GBK" w:eastAsia="方正仿宋_GBK"/>
          <w:sz w:val="32"/>
          <w:szCs w:val="32"/>
        </w:rPr>
        <w:t>不一致</w:t>
      </w:r>
      <w:r>
        <w:rPr>
          <w:rFonts w:hint="eastAsia" w:ascii="方正仿宋_GBK" w:eastAsia="方正仿宋_GBK"/>
          <w:sz w:val="32"/>
          <w:szCs w:val="32"/>
        </w:rPr>
        <w:t>情形时</w:t>
      </w:r>
      <w:r>
        <w:rPr>
          <w:rFonts w:ascii="方正仿宋_GBK" w:eastAsia="方正仿宋_GBK"/>
          <w:sz w:val="32"/>
          <w:szCs w:val="32"/>
        </w:rPr>
        <w:t>，</w:t>
      </w:r>
      <w:r>
        <w:rPr>
          <w:rFonts w:hint="eastAsia" w:ascii="方正仿宋_GBK" w:eastAsia="方正仿宋_GBK"/>
          <w:sz w:val="32"/>
          <w:szCs w:val="32"/>
        </w:rPr>
        <w:t>按如下方式处理</w:t>
      </w:r>
      <w:r>
        <w:rPr>
          <w:rFonts w:ascii="方正仿宋_GBK" w:eastAsia="方正仿宋_GBK"/>
          <w:sz w:val="32"/>
          <w:szCs w:val="32"/>
        </w:rPr>
        <w:t>：</w:t>
      </w:r>
    </w:p>
    <w:p>
      <w:pPr>
        <w:keepNext w:val="0"/>
        <w:keepLines w:val="0"/>
        <w:pageBreakBefore w:val="0"/>
        <w:widowControl w:val="0"/>
        <w:numPr>
          <w:ilvl w:val="0"/>
          <w:numId w:val="2"/>
        </w:numPr>
        <w:kinsoku/>
        <w:wordWrap/>
        <w:overflowPunct w:val="0"/>
        <w:topLinePunct w:val="0"/>
        <w:autoSpaceDE/>
        <w:autoSpaceDN/>
        <w:bidi w:val="0"/>
        <w:adjustRightInd/>
        <w:snapToGrid w:val="0"/>
        <w:spacing w:line="594"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中心应通过原登记档案，核查申请人特别是转让方认定提供资料的真实性、当时</w:t>
      </w:r>
      <w:r>
        <w:rPr>
          <w:rFonts w:ascii="方正仿宋_GBK" w:eastAsia="方正仿宋_GBK"/>
          <w:sz w:val="32"/>
          <w:szCs w:val="32"/>
        </w:rPr>
        <w:t>产权人实际居住</w:t>
      </w:r>
      <w:r>
        <w:rPr>
          <w:rFonts w:hint="eastAsia" w:ascii="方正仿宋_GBK" w:eastAsia="方正仿宋_GBK"/>
          <w:sz w:val="32"/>
          <w:szCs w:val="32"/>
        </w:rPr>
        <w:t>及配偶等对其身份认定</w:t>
      </w:r>
      <w:r>
        <w:rPr>
          <w:rFonts w:ascii="方正仿宋_GBK" w:eastAsia="方正仿宋_GBK"/>
          <w:sz w:val="32"/>
          <w:szCs w:val="32"/>
        </w:rPr>
        <w:t>情况；</w:t>
      </w:r>
    </w:p>
    <w:p>
      <w:pPr>
        <w:keepNext w:val="0"/>
        <w:keepLines w:val="0"/>
        <w:pageBreakBefore w:val="0"/>
        <w:widowControl w:val="0"/>
        <w:numPr>
          <w:ilvl w:val="0"/>
          <w:numId w:val="2"/>
        </w:numPr>
        <w:kinsoku/>
        <w:wordWrap/>
        <w:overflowPunct w:val="0"/>
        <w:topLinePunct w:val="0"/>
        <w:autoSpaceDE/>
        <w:autoSpaceDN/>
        <w:bidi w:val="0"/>
        <w:adjustRightInd/>
        <w:snapToGrid w:val="0"/>
        <w:spacing w:line="594" w:lineRule="exact"/>
        <w:ind w:left="0" w:leftChars="0" w:firstLine="640" w:firstLineChars="200"/>
        <w:textAlignment w:val="auto"/>
        <w:rPr>
          <w:rFonts w:eastAsia="方正仿宋_GBK"/>
          <w:kern w:val="0"/>
          <w:sz w:val="32"/>
          <w:szCs w:val="32"/>
        </w:rPr>
      </w:pPr>
      <w:r>
        <w:rPr>
          <w:rFonts w:hint="eastAsia" w:ascii="方正仿宋_GBK" w:eastAsia="方正仿宋_GBK"/>
          <w:sz w:val="32"/>
          <w:szCs w:val="32"/>
        </w:rPr>
        <w:t>根据核查结果，对应办理依申请人申请更正登记；如原提供身份资料属实，只是原身份材料中部分信息不准确，可参考</w:t>
      </w:r>
      <w:r>
        <w:rPr>
          <w:rFonts w:eastAsia="方正仿宋_GBK"/>
          <w:snapToGrid w:val="0"/>
          <w:kern w:val="0"/>
          <w:sz w:val="32"/>
          <w:szCs w:val="32"/>
        </w:rPr>
        <w:t>渝规资〔2021〕</w:t>
      </w:r>
      <w:r>
        <w:rPr>
          <w:rFonts w:hint="eastAsia" w:eastAsia="方正仿宋_GBK"/>
          <w:snapToGrid w:val="0"/>
          <w:kern w:val="0"/>
          <w:sz w:val="32"/>
          <w:szCs w:val="32"/>
        </w:rPr>
        <w:t>595</w:t>
      </w:r>
      <w:r>
        <w:rPr>
          <w:rFonts w:eastAsia="方正仿宋_GBK"/>
          <w:snapToGrid w:val="0"/>
          <w:kern w:val="0"/>
          <w:sz w:val="32"/>
          <w:szCs w:val="32"/>
        </w:rPr>
        <w:t>号</w:t>
      </w:r>
      <w:r>
        <w:rPr>
          <w:rFonts w:hint="eastAsia" w:eastAsia="方正仿宋_GBK"/>
          <w:snapToGrid w:val="0"/>
          <w:kern w:val="0"/>
          <w:sz w:val="32"/>
          <w:szCs w:val="32"/>
        </w:rPr>
        <w:t>文件</w:t>
      </w:r>
      <w:r>
        <w:rPr>
          <w:rFonts w:eastAsia="方正仿宋_GBK"/>
          <w:snapToGrid w:val="0"/>
          <w:kern w:val="0"/>
          <w:sz w:val="32"/>
          <w:szCs w:val="32"/>
        </w:rPr>
        <w:t>精神，</w:t>
      </w:r>
      <w:r>
        <w:rPr>
          <w:rFonts w:hint="eastAsia" w:eastAsia="方正仿宋_GBK"/>
          <w:kern w:val="0"/>
          <w:sz w:val="32"/>
          <w:szCs w:val="32"/>
        </w:rPr>
        <w:t>采用告知承诺制进行办理。</w:t>
      </w:r>
    </w:p>
    <w:p>
      <w:pPr>
        <w:keepNext w:val="0"/>
        <w:keepLines w:val="0"/>
        <w:pageBreakBefore w:val="0"/>
        <w:widowControl w:val="0"/>
        <w:numPr>
          <w:ilvl w:val="0"/>
          <w:numId w:val="1"/>
        </w:numPr>
        <w:kinsoku/>
        <w:wordWrap/>
        <w:overflowPunct w:val="0"/>
        <w:topLinePunct w:val="0"/>
        <w:autoSpaceDE/>
        <w:autoSpaceDN/>
        <w:bidi w:val="0"/>
        <w:adjustRightInd/>
        <w:snapToGrid w:val="0"/>
        <w:spacing w:line="594"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经济适用房的裁定过户事宜</w:t>
      </w:r>
    </w:p>
    <w:p>
      <w:pPr>
        <w:keepNext w:val="0"/>
        <w:keepLines w:val="0"/>
        <w:pageBreakBefore w:val="0"/>
        <w:widowControl w:val="0"/>
        <w:numPr>
          <w:ilvl w:val="0"/>
          <w:numId w:val="0"/>
        </w:numPr>
        <w:kinsoku/>
        <w:wordWrap/>
        <w:overflowPunct w:val="0"/>
        <w:topLinePunct w:val="0"/>
        <w:autoSpaceDE/>
        <w:autoSpaceDN/>
        <w:bidi w:val="0"/>
        <w:adjustRightInd/>
        <w:snapToGrid w:val="0"/>
        <w:spacing w:line="594"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法院送达法律文书时，依嘱托登记按法律文书内容直接办理经济适用住房过户登记并缮证，新证继续保留土地使用权的划拨性质。根据《重庆市国土房管局、重庆市财政局关于主城区经济适用住房交易补缴土地收益等价款有关问题的通知》（渝国土房管规发</w:t>
      </w:r>
      <w:r>
        <w:rPr>
          <w:rFonts w:hint="eastAsia" w:ascii="方正仿宋_GBK" w:hAnsi="方正仿宋_GBK" w:eastAsia="方正仿宋_GBK" w:cs="方正仿宋_GBK"/>
          <w:sz w:val="32"/>
          <w:szCs w:val="32"/>
        </w:rPr>
        <w:t>〔2016〕5号</w:t>
      </w:r>
      <w:r>
        <w:rPr>
          <w:rFonts w:hint="eastAsia" w:ascii="方正仿宋_GBK" w:eastAsia="方正仿宋_GBK"/>
          <w:sz w:val="32"/>
          <w:szCs w:val="32"/>
        </w:rPr>
        <w:t>）“因债权债务、买卖纠纷等执行生效法律文书的，以及法律法规规定的其他情形，可依法办理经济适用住房权属转移登记，不受购买满5年的年限限制，且可继续保留经济适用住房性质。”之规定，买受人领证时，登记中心依据买受人是否保留经济适用住房性质的申请，按照以下方式办理：（一）买受人若申请完善经济适用住房产权的，缴纳非税收入和土地出让金后，出具原产权人的相关税票。初审意见中对嘱托登记的案件具体情况表述清楚。将完善产权的相关税票复印件收入司法裁决、拍卖、定向罚没业务的登记资料中。（二）买受人若申请保留经济适用住房的性质的，补缴划拨收益金后，凭完善相关费用票据领取权证。</w:t>
      </w:r>
    </w:p>
    <w:p>
      <w:pPr>
        <w:keepNext w:val="0"/>
        <w:keepLines w:val="0"/>
        <w:pageBreakBefore w:val="0"/>
        <w:widowControl w:val="0"/>
        <w:kinsoku/>
        <w:wordWrap/>
        <w:overflowPunct w:val="0"/>
        <w:topLinePunct w:val="0"/>
        <w:autoSpaceDE/>
        <w:autoSpaceDN/>
        <w:bidi w:val="0"/>
        <w:adjustRightInd/>
        <w:snapToGrid w:val="0"/>
        <w:spacing w:line="594" w:lineRule="exact"/>
        <w:ind w:left="0"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sz w:val="32"/>
          <w:szCs w:val="32"/>
        </w:rPr>
        <w:t>七、</w:t>
      </w:r>
      <w:r>
        <w:rPr>
          <w:rFonts w:hint="eastAsia" w:ascii="黑体" w:hAnsi="黑体" w:eastAsia="黑体" w:cs="黑体"/>
          <w:color w:val="000000" w:themeColor="text1"/>
          <w:sz w:val="32"/>
          <w:szCs w:val="32"/>
          <w14:textFill>
            <w14:solidFill>
              <w14:schemeClr w14:val="tx1"/>
            </w14:solidFill>
          </w14:textFill>
        </w:rPr>
        <w:t>产权人单方申请地址或名称等产权变更后，后续办理抵押登记变更事宜</w:t>
      </w:r>
    </w:p>
    <w:p>
      <w:pPr>
        <w:keepNext w:val="0"/>
        <w:keepLines w:val="0"/>
        <w:pageBreakBefore w:val="0"/>
        <w:widowControl w:val="0"/>
        <w:kinsoku/>
        <w:wordWrap/>
        <w:overflowPunct w:val="0"/>
        <w:topLinePunct w:val="0"/>
        <w:autoSpaceDE/>
        <w:autoSpaceDN/>
        <w:bidi w:val="0"/>
        <w:adjustRightInd/>
        <w:snapToGrid w:val="0"/>
        <w:spacing w:line="594" w:lineRule="exact"/>
        <w:ind w:left="0" w:firstLine="640" w:firstLineChars="200"/>
        <w:textAlignment w:val="auto"/>
        <w:rPr>
          <w:rFonts w:ascii="方正仿宋_GBK" w:hAnsi="黑体" w:eastAsia="方正仿宋_GBK" w:cs="黑体"/>
          <w:color w:val="000000" w:themeColor="text1"/>
          <w:sz w:val="32"/>
          <w:szCs w:val="32"/>
          <w14:textFill>
            <w14:solidFill>
              <w14:schemeClr w14:val="tx1"/>
            </w14:solidFill>
          </w14:textFill>
        </w:rPr>
      </w:pPr>
      <w:r>
        <w:rPr>
          <w:rFonts w:hint="eastAsia" w:ascii="方正仿宋_GBK" w:hAnsi="黑体" w:eastAsia="方正仿宋_GBK" w:cs="黑体"/>
          <w:color w:val="000000" w:themeColor="text1"/>
          <w:sz w:val="32"/>
          <w:szCs w:val="32"/>
          <w14:textFill>
            <w14:solidFill>
              <w14:schemeClr w14:val="tx1"/>
            </w14:solidFill>
          </w14:textFill>
        </w:rPr>
        <w:t>抵押房屋产权人单方申请地址或名称等产权变更后，可按以下方式办理抵押变更：</w:t>
      </w:r>
    </w:p>
    <w:p>
      <w:pPr>
        <w:keepNext w:val="0"/>
        <w:keepLines w:val="0"/>
        <w:pageBreakBefore w:val="0"/>
        <w:widowControl w:val="0"/>
        <w:numPr>
          <w:ilvl w:val="0"/>
          <w:numId w:val="3"/>
        </w:numPr>
        <w:kinsoku/>
        <w:wordWrap/>
        <w:overflowPunct w:val="0"/>
        <w:topLinePunct w:val="0"/>
        <w:autoSpaceDE/>
        <w:autoSpaceDN/>
        <w:bidi w:val="0"/>
        <w:adjustRightInd/>
        <w:snapToGrid w:val="0"/>
        <w:spacing w:line="594" w:lineRule="exact"/>
        <w:ind w:left="0" w:leftChars="0" w:firstLine="640" w:firstLineChars="200"/>
        <w:textAlignment w:val="auto"/>
        <w:rPr>
          <w:rFonts w:ascii="方正仿宋_GBK" w:hAnsi="黑体" w:eastAsia="方正仿宋_GBK" w:cs="黑体"/>
          <w:color w:val="000000" w:themeColor="text1"/>
          <w:sz w:val="32"/>
          <w:szCs w:val="32"/>
          <w14:textFill>
            <w14:solidFill>
              <w14:schemeClr w14:val="tx1"/>
            </w14:solidFill>
          </w14:textFill>
        </w:rPr>
      </w:pPr>
      <w:r>
        <w:rPr>
          <w:rFonts w:hint="eastAsia" w:ascii="方正仿宋_GBK" w:hAnsi="黑体" w:eastAsia="方正仿宋_GBK" w:cs="黑体"/>
          <w:color w:val="000000" w:themeColor="text1"/>
          <w:sz w:val="32"/>
          <w:szCs w:val="32"/>
          <w14:textFill>
            <w14:solidFill>
              <w14:schemeClr w14:val="tx1"/>
            </w14:solidFill>
          </w14:textFill>
        </w:rPr>
        <w:t>原通过银行抵押专网办理抵押登记的，其抵押变更登记均应通过银行抵押专网办理；</w:t>
      </w:r>
    </w:p>
    <w:p>
      <w:pPr>
        <w:keepNext w:val="0"/>
        <w:keepLines w:val="0"/>
        <w:pageBreakBefore w:val="0"/>
        <w:widowControl w:val="0"/>
        <w:numPr>
          <w:ilvl w:val="0"/>
          <w:numId w:val="3"/>
        </w:numPr>
        <w:kinsoku/>
        <w:wordWrap/>
        <w:overflowPunct w:val="0"/>
        <w:topLinePunct w:val="0"/>
        <w:autoSpaceDE/>
        <w:autoSpaceDN/>
        <w:bidi w:val="0"/>
        <w:adjustRightInd/>
        <w:snapToGrid w:val="0"/>
        <w:spacing w:line="594" w:lineRule="exact"/>
        <w:ind w:left="0" w:leftChars="0" w:firstLine="640" w:firstLineChars="200"/>
        <w:textAlignment w:val="auto"/>
        <w:rPr>
          <w:rFonts w:ascii="方正仿宋_GBK" w:hAnsi="黑体" w:eastAsia="方正仿宋_GBK" w:cs="黑体"/>
          <w:color w:val="000000" w:themeColor="text1"/>
          <w:sz w:val="32"/>
          <w:szCs w:val="32"/>
          <w14:textFill>
            <w14:solidFill>
              <w14:schemeClr w14:val="tx1"/>
            </w14:solidFill>
          </w14:textFill>
        </w:rPr>
      </w:pPr>
      <w:r>
        <w:rPr>
          <w:rFonts w:hint="eastAsia" w:ascii="方正仿宋_GBK" w:hAnsi="黑体" w:eastAsia="方正仿宋_GBK" w:cs="黑体"/>
          <w:color w:val="000000" w:themeColor="text1"/>
          <w:sz w:val="32"/>
          <w:szCs w:val="32"/>
          <w14:textFill>
            <w14:solidFill>
              <w14:schemeClr w14:val="tx1"/>
            </w14:solidFill>
          </w14:textFill>
        </w:rPr>
        <w:t>原通过窗口线下办理抵押登记的，其抵押变更登记应当双方申请；在提供不动产登记证明原件或抵押权人出具原不动产抵押登记证明遗失声明作废的情况下，可由抵押人单方申请。</w:t>
      </w:r>
    </w:p>
    <w:p>
      <w:pPr>
        <w:keepNext w:val="0"/>
        <w:keepLines w:val="0"/>
        <w:pageBreakBefore w:val="0"/>
        <w:widowControl w:val="0"/>
        <w:kinsoku/>
        <w:wordWrap/>
        <w:overflowPunct w:val="0"/>
        <w:topLinePunct w:val="0"/>
        <w:autoSpaceDE/>
        <w:autoSpaceDN/>
        <w:bidi w:val="0"/>
        <w:adjustRightInd/>
        <w:snapToGrid w:val="0"/>
        <w:spacing w:line="594" w:lineRule="exact"/>
        <w:ind w:left="0" w:leftChars="0"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sz w:val="32"/>
          <w:szCs w:val="32"/>
        </w:rPr>
        <w:t>八</w:t>
      </w:r>
      <w:r>
        <w:rPr>
          <w:rFonts w:ascii="黑体" w:hAnsi="黑体" w:eastAsia="黑体" w:cs="黑体"/>
          <w:sz w:val="32"/>
          <w:szCs w:val="32"/>
        </w:rPr>
        <w:t>、</w:t>
      </w:r>
      <w:r>
        <w:rPr>
          <w:rFonts w:hint="eastAsia" w:ascii="黑体" w:hAnsi="黑体" w:eastAsia="黑体" w:cs="黑体"/>
          <w:color w:val="000000" w:themeColor="text1"/>
          <w:sz w:val="32"/>
          <w:szCs w:val="32"/>
          <w14:textFill>
            <w14:solidFill>
              <w14:schemeClr w14:val="tx1"/>
            </w14:solidFill>
          </w14:textFill>
        </w:rPr>
        <w:t>关于法院对预告登记的预购商品房司法裁定过户办理登记事宜</w:t>
      </w:r>
    </w:p>
    <w:p>
      <w:pPr>
        <w:keepNext w:val="0"/>
        <w:keepLines w:val="0"/>
        <w:pageBreakBefore w:val="0"/>
        <w:widowControl w:val="0"/>
        <w:kinsoku/>
        <w:wordWrap/>
        <w:overflowPunct w:val="0"/>
        <w:topLinePunct w:val="0"/>
        <w:autoSpaceDE/>
        <w:autoSpaceDN/>
        <w:bidi w:val="0"/>
        <w:adjustRightInd/>
        <w:snapToGrid w:val="0"/>
        <w:spacing w:line="594"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对协助执行预告登记的预购商品房，依据司法协助执行文书要求办理转移预告登记的，中心按“预购商品房转移预告登记”直接办理。</w:t>
      </w:r>
    </w:p>
    <w:p>
      <w:pPr>
        <w:keepNext w:val="0"/>
        <w:keepLines w:val="0"/>
        <w:pageBreakBefore w:val="0"/>
        <w:widowControl w:val="0"/>
        <w:kinsoku/>
        <w:wordWrap/>
        <w:overflowPunct w:val="0"/>
        <w:topLinePunct w:val="0"/>
        <w:autoSpaceDE/>
        <w:autoSpaceDN/>
        <w:bidi w:val="0"/>
        <w:adjustRightInd/>
        <w:snapToGrid w:val="0"/>
        <w:spacing w:line="594"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协助执行预告登记的预购商品房，依据司法协助执行文书要求办理产权转移登记且无当前权利人同意涉案房屋产权转移的，中心应对司法协助执行文书表述不清的情况向执行法院提出审查建议，执行法院回复继续办理产权转移登记或逾期不作回复的，直接办理房屋权属转移登记。</w:t>
      </w:r>
    </w:p>
    <w:p>
      <w:pPr>
        <w:keepNext w:val="0"/>
        <w:keepLines w:val="0"/>
        <w:pageBreakBefore w:val="0"/>
        <w:widowControl w:val="0"/>
        <w:kinsoku/>
        <w:wordWrap/>
        <w:topLinePunct w:val="0"/>
        <w:autoSpaceDE/>
        <w:autoSpaceDN/>
        <w:bidi w:val="0"/>
        <w:adjustRightInd/>
        <w:spacing w:line="594" w:lineRule="exact"/>
        <w:ind w:left="0" w:lef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topLinePunct w:val="0"/>
        <w:autoSpaceDE/>
        <w:autoSpaceDN/>
        <w:bidi w:val="0"/>
        <w:adjustRightInd/>
        <w:spacing w:line="594" w:lineRule="exact"/>
        <w:ind w:left="1598" w:leftChars="304" w:hanging="960" w:hangingChars="300"/>
        <w:textAlignment w:val="auto"/>
        <w:rPr>
          <w:rFonts w:eastAsia="方正仿宋_GBK"/>
          <w:sz w:val="32"/>
          <w:szCs w:val="32"/>
        </w:rPr>
      </w:pPr>
      <w:r>
        <w:rPr>
          <w:rFonts w:hint="eastAsia" w:ascii="黑体" w:hAnsi="黑体" w:eastAsia="黑体" w:cs="黑体"/>
          <w:sz w:val="32"/>
          <w:szCs w:val="32"/>
        </w:rPr>
        <w:t>参会：</w:t>
      </w:r>
      <w:r>
        <w:rPr>
          <w:rFonts w:hint="eastAsia" w:eastAsia="方正仿宋_GBK"/>
          <w:sz w:val="32"/>
          <w:szCs w:val="32"/>
        </w:rPr>
        <w:t>周浔</w:t>
      </w:r>
      <w:r>
        <w:rPr>
          <w:rFonts w:eastAsia="方正仿宋_GBK"/>
          <w:sz w:val="32"/>
          <w:szCs w:val="32"/>
        </w:rPr>
        <w:t>倩、</w:t>
      </w:r>
      <w:r>
        <w:rPr>
          <w:rFonts w:hint="eastAsia" w:eastAsia="方正仿宋_GBK"/>
          <w:sz w:val="32"/>
          <w:szCs w:val="32"/>
        </w:rPr>
        <w:t>刘军、邓钧、吴军花、李</w:t>
      </w:r>
      <w:r>
        <w:rPr>
          <w:rFonts w:eastAsia="方正仿宋_GBK"/>
          <w:sz w:val="32"/>
          <w:szCs w:val="32"/>
        </w:rPr>
        <w:t>华裕、欧阳勇、毛序、</w:t>
      </w:r>
      <w:r>
        <w:rPr>
          <w:rFonts w:hint="eastAsia" w:eastAsia="方正仿宋_GBK"/>
          <w:sz w:val="32"/>
          <w:szCs w:val="32"/>
        </w:rPr>
        <w:t>张</w:t>
      </w:r>
      <w:r>
        <w:rPr>
          <w:rFonts w:eastAsia="方正仿宋_GBK"/>
          <w:sz w:val="32"/>
          <w:szCs w:val="32"/>
        </w:rPr>
        <w:t>军</w:t>
      </w:r>
      <w:r>
        <w:rPr>
          <w:rFonts w:hint="eastAsia" w:eastAsia="方正仿宋_GBK"/>
          <w:sz w:val="32"/>
          <w:szCs w:val="32"/>
        </w:rPr>
        <w:t>、梁平</w:t>
      </w:r>
      <w:r>
        <w:rPr>
          <w:rFonts w:eastAsia="方正仿宋_GBK"/>
          <w:sz w:val="32"/>
          <w:szCs w:val="32"/>
        </w:rPr>
        <w:t>、</w:t>
      </w:r>
      <w:r>
        <w:rPr>
          <w:rFonts w:hint="eastAsia" w:eastAsia="方正仿宋_GBK"/>
          <w:sz w:val="32"/>
          <w:szCs w:val="32"/>
        </w:rPr>
        <w:t>段莉、陈晓波、冉</w:t>
      </w:r>
      <w:r>
        <w:rPr>
          <w:rFonts w:eastAsia="方正仿宋_GBK"/>
          <w:sz w:val="32"/>
          <w:szCs w:val="32"/>
        </w:rPr>
        <w:t>懋、黎</w:t>
      </w:r>
      <w:r>
        <w:rPr>
          <w:rFonts w:hint="eastAsia" w:eastAsia="方正仿宋_GBK"/>
          <w:sz w:val="32"/>
          <w:szCs w:val="32"/>
        </w:rPr>
        <w:t>俊</w:t>
      </w:r>
      <w:r>
        <w:rPr>
          <w:rFonts w:eastAsia="方正仿宋_GBK"/>
          <w:sz w:val="32"/>
          <w:szCs w:val="32"/>
        </w:rPr>
        <w:t>、罗</w:t>
      </w:r>
      <w:r>
        <w:rPr>
          <w:rFonts w:hint="eastAsia" w:eastAsia="方正仿宋_GBK"/>
          <w:sz w:val="32"/>
          <w:szCs w:val="32"/>
        </w:rPr>
        <w:t>兴</w:t>
      </w:r>
      <w:r>
        <w:rPr>
          <w:rFonts w:eastAsia="方正仿宋_GBK"/>
          <w:sz w:val="32"/>
          <w:szCs w:val="32"/>
        </w:rPr>
        <w:t>伟</w:t>
      </w:r>
      <w:r>
        <w:rPr>
          <w:rFonts w:hint="eastAsia" w:eastAsia="方正仿宋_GBK"/>
          <w:sz w:val="32"/>
          <w:szCs w:val="32"/>
        </w:rPr>
        <w:t>、</w:t>
      </w:r>
      <w:r>
        <w:rPr>
          <w:rFonts w:eastAsia="方正仿宋_GBK"/>
          <w:sz w:val="32"/>
          <w:szCs w:val="32"/>
        </w:rPr>
        <w:t>龙</w:t>
      </w:r>
      <w:r>
        <w:rPr>
          <w:rFonts w:hint="eastAsia" w:eastAsia="方正仿宋_GBK"/>
          <w:sz w:val="32"/>
          <w:szCs w:val="32"/>
        </w:rPr>
        <w:t>兴</w:t>
      </w:r>
      <w:r>
        <w:rPr>
          <w:rFonts w:eastAsia="方正仿宋_GBK"/>
          <w:sz w:val="32"/>
          <w:szCs w:val="32"/>
        </w:rPr>
        <w:t>星</w:t>
      </w:r>
    </w:p>
    <w:p>
      <w:pPr>
        <w:keepNext w:val="0"/>
        <w:keepLines w:val="0"/>
        <w:pageBreakBefore w:val="0"/>
        <w:widowControl w:val="0"/>
        <w:kinsoku/>
        <w:wordWrap/>
        <w:topLinePunct w:val="0"/>
        <w:autoSpaceDE/>
        <w:autoSpaceDN/>
        <w:bidi w:val="0"/>
        <w:adjustRightInd/>
        <w:spacing w:line="594" w:lineRule="exact"/>
        <w:ind w:left="0" w:leftChars="0" w:firstLine="640" w:firstLineChars="200"/>
        <w:textAlignment w:val="auto"/>
        <w:rPr>
          <w:rFonts w:eastAsia="方正仿宋_GBK"/>
          <w:sz w:val="32"/>
          <w:szCs w:val="32"/>
        </w:rPr>
      </w:pPr>
      <w:r>
        <w:rPr>
          <w:rFonts w:hint="eastAsia" w:ascii="黑体" w:hAnsi="黑体" w:eastAsia="黑体" w:cs="黑体"/>
          <w:sz w:val="32"/>
          <w:szCs w:val="32"/>
        </w:rPr>
        <w:t>记录：</w:t>
      </w:r>
      <w:r>
        <w:rPr>
          <w:rFonts w:hint="eastAsia" w:eastAsia="方正仿宋_GBK"/>
          <w:sz w:val="32"/>
          <w:szCs w:val="32"/>
        </w:rPr>
        <w:t>王爱月</w:t>
      </w:r>
    </w:p>
    <w:p>
      <w:pPr>
        <w:spacing w:line="594" w:lineRule="exact"/>
        <w:ind w:firstLine="320" w:firstLineChars="100"/>
        <w:rPr>
          <w:rFonts w:hint="eastAsia" w:ascii="仿宋_GB2312" w:eastAsia="仿宋_GB2312"/>
          <w:sz w:val="32"/>
          <w:szCs w:val="32"/>
        </w:rPr>
      </w:pPr>
      <w:r>
        <w:rPr>
          <w:rFonts w:hint="eastAsia" w:ascii="仿宋_GB2312" w:eastAsia="仿宋_GB2312"/>
          <w:sz w:val="32"/>
          <w:szCs w:val="32"/>
        </w:rPr>
        <w:t xml:space="preserve"> </w:t>
      </w:r>
    </w:p>
    <w:p>
      <w:pPr>
        <w:pStyle w:val="2"/>
        <w:rPr>
          <w:rFonts w:hint="eastAsia"/>
        </w:rPr>
      </w:pPr>
    </w:p>
    <w:p>
      <w:pPr>
        <w:jc w:val="both"/>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附件</w:t>
      </w:r>
    </w:p>
    <w:p>
      <w:pPr>
        <w:keepNext w:val="0"/>
        <w:keepLines w:val="0"/>
        <w:pageBreakBefore w:val="0"/>
        <w:widowControl w:val="0"/>
        <w:kinsoku/>
        <w:wordWrap/>
        <w:topLinePunct w:val="0"/>
        <w:autoSpaceDE/>
        <w:autoSpaceDN/>
        <w:bidi w:val="0"/>
        <w:adjustRightInd/>
        <w:spacing w:line="594" w:lineRule="exact"/>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topLinePunct w:val="0"/>
        <w:autoSpaceDE/>
        <w:autoSpaceDN/>
        <w:bidi w:val="0"/>
        <w:adjustRightInd/>
        <w:spacing w:line="594" w:lineRule="exact"/>
        <w:jc w:val="center"/>
        <w:textAlignment w:val="auto"/>
        <w:rPr>
          <w:rFonts w:hint="eastAsia" w:eastAsia="宋体"/>
          <w:b/>
          <w:sz w:val="36"/>
          <w:szCs w:val="36"/>
          <w:lang w:eastAsia="zh-CN"/>
        </w:rPr>
      </w:pPr>
      <w:r>
        <w:rPr>
          <w:rFonts w:hint="eastAsia" w:ascii="方正小标宋_GBK" w:hAnsi="方正小标宋_GBK" w:eastAsia="方正小标宋_GBK" w:cs="方正小标宋_GBK"/>
          <w:b w:val="0"/>
          <w:bCs/>
          <w:sz w:val="44"/>
          <w:szCs w:val="44"/>
        </w:rPr>
        <w:t>建筑物区分所有权</w:t>
      </w:r>
      <w:r>
        <w:rPr>
          <w:rFonts w:hint="eastAsia" w:ascii="方正小标宋_GBK" w:hAnsi="方正小标宋_GBK" w:eastAsia="方正小标宋_GBK" w:cs="方正小标宋_GBK"/>
          <w:b w:val="0"/>
          <w:bCs/>
          <w:sz w:val="44"/>
          <w:szCs w:val="44"/>
          <w:lang w:eastAsia="zh-CN"/>
        </w:rPr>
        <w:t>申报表</w:t>
      </w:r>
    </w:p>
    <w:p>
      <w:pPr>
        <w:keepNext w:val="0"/>
        <w:keepLines w:val="0"/>
        <w:pageBreakBefore w:val="0"/>
        <w:widowControl w:val="0"/>
        <w:kinsoku/>
        <w:wordWrap/>
        <w:topLinePunct w:val="0"/>
        <w:autoSpaceDE/>
        <w:autoSpaceDN/>
        <w:bidi w:val="0"/>
        <w:adjustRightInd/>
        <w:spacing w:line="594" w:lineRule="exact"/>
        <w:textAlignment w:val="auto"/>
        <w:rPr>
          <w:sz w:val="30"/>
          <w:szCs w:val="30"/>
        </w:rPr>
      </w:pPr>
    </w:p>
    <w:p>
      <w:pPr>
        <w:keepNext w:val="0"/>
        <w:keepLines w:val="0"/>
        <w:pageBreakBefore w:val="0"/>
        <w:widowControl w:val="0"/>
        <w:kinsoku/>
        <w:wordWrap/>
        <w:overflowPunct w:val="0"/>
        <w:topLinePunct w:val="0"/>
        <w:autoSpaceDE/>
        <w:autoSpaceDN/>
        <w:bidi w:val="0"/>
        <w:adjustRightInd/>
        <w:snapToGrid w:val="0"/>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重庆市渝北不动产登记中心：</w:t>
      </w:r>
    </w:p>
    <w:p>
      <w:pPr>
        <w:keepNext w:val="0"/>
        <w:keepLines w:val="0"/>
        <w:pageBreakBefore w:val="0"/>
        <w:widowControl w:val="0"/>
        <w:kinsoku/>
        <w:wordWrap/>
        <w:overflowPunct w:val="0"/>
        <w:topLinePunct w:val="0"/>
        <w:autoSpaceDE/>
        <w:autoSpaceDN/>
        <w:bidi w:val="0"/>
        <w:adjustRightInd/>
        <w:snapToGrid w:val="0"/>
        <w:spacing w:line="594"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我单位在办理位于渝北区         号即         （项目或小区）第   期房屋的权属初始登记，根据《民法典》及不动产登记相关规定，现对该（项目或小区）建筑物区划内属全体业主共有的公用设施、物业服务用房等情况说明如下：</w:t>
      </w: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170"/>
        <w:gridCol w:w="945"/>
        <w:gridCol w:w="960"/>
        <w:gridCol w:w="1530"/>
        <w:gridCol w:w="1587"/>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85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b/>
                <w:sz w:val="28"/>
                <w:szCs w:val="28"/>
              </w:rPr>
            </w:pPr>
            <w:r>
              <w:rPr>
                <w:rFonts w:hint="eastAsia" w:ascii="方正仿宋_GBK" w:hAnsi="方正仿宋_GBK" w:eastAsia="方正仿宋_GBK" w:cs="方正仿宋_GBK"/>
                <w:sz w:val="32"/>
                <w:szCs w:val="32"/>
              </w:rPr>
              <w:t>序号</w:t>
            </w:r>
          </w:p>
        </w:tc>
        <w:tc>
          <w:tcPr>
            <w:tcW w:w="11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幢号</w:t>
            </w: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楼层</w:t>
            </w: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房号</w:t>
            </w:r>
          </w:p>
        </w:tc>
        <w:tc>
          <w:tcPr>
            <w:tcW w:w="15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公用设施</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名 称</w:t>
            </w:r>
          </w:p>
        </w:tc>
        <w:tc>
          <w:tcPr>
            <w:tcW w:w="1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建 筑</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面积㎡</w:t>
            </w:r>
          </w:p>
        </w:tc>
        <w:tc>
          <w:tcPr>
            <w:tcW w:w="12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ind w:firstLine="160" w:firstLineChars="50"/>
              <w:jc w:val="center"/>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8" w:type="dxa"/>
          </w:tcPr>
          <w:p>
            <w:pPr>
              <w:keepNext w:val="0"/>
              <w:keepLines w:val="0"/>
              <w:pageBreakBefore w:val="0"/>
              <w:widowControl w:val="0"/>
              <w:kinsoku/>
              <w:wordWrap/>
              <w:topLinePunct w:val="0"/>
              <w:autoSpaceDE/>
              <w:autoSpaceDN/>
              <w:bidi w:val="0"/>
              <w:adjustRightInd/>
              <w:spacing w:line="594" w:lineRule="exact"/>
              <w:textAlignment w:val="auto"/>
            </w:pPr>
          </w:p>
        </w:tc>
        <w:tc>
          <w:tcPr>
            <w:tcW w:w="1170" w:type="dxa"/>
          </w:tcPr>
          <w:p>
            <w:pPr>
              <w:keepNext w:val="0"/>
              <w:keepLines w:val="0"/>
              <w:pageBreakBefore w:val="0"/>
              <w:widowControl w:val="0"/>
              <w:kinsoku/>
              <w:wordWrap/>
              <w:topLinePunct w:val="0"/>
              <w:autoSpaceDE/>
              <w:autoSpaceDN/>
              <w:bidi w:val="0"/>
              <w:adjustRightInd/>
              <w:spacing w:line="594" w:lineRule="exact"/>
              <w:textAlignment w:val="auto"/>
            </w:pPr>
          </w:p>
        </w:tc>
        <w:tc>
          <w:tcPr>
            <w:tcW w:w="945" w:type="dxa"/>
          </w:tcPr>
          <w:p>
            <w:pPr>
              <w:keepNext w:val="0"/>
              <w:keepLines w:val="0"/>
              <w:pageBreakBefore w:val="0"/>
              <w:widowControl w:val="0"/>
              <w:kinsoku/>
              <w:wordWrap/>
              <w:topLinePunct w:val="0"/>
              <w:autoSpaceDE/>
              <w:autoSpaceDN/>
              <w:bidi w:val="0"/>
              <w:adjustRightInd/>
              <w:spacing w:line="594" w:lineRule="exact"/>
              <w:textAlignment w:val="auto"/>
            </w:pPr>
          </w:p>
        </w:tc>
        <w:tc>
          <w:tcPr>
            <w:tcW w:w="960" w:type="dxa"/>
          </w:tcPr>
          <w:p>
            <w:pPr>
              <w:keepNext w:val="0"/>
              <w:keepLines w:val="0"/>
              <w:pageBreakBefore w:val="0"/>
              <w:widowControl w:val="0"/>
              <w:kinsoku/>
              <w:wordWrap/>
              <w:topLinePunct w:val="0"/>
              <w:autoSpaceDE/>
              <w:autoSpaceDN/>
              <w:bidi w:val="0"/>
              <w:adjustRightInd/>
              <w:spacing w:line="594" w:lineRule="exact"/>
              <w:textAlignment w:val="auto"/>
            </w:pPr>
          </w:p>
        </w:tc>
        <w:tc>
          <w:tcPr>
            <w:tcW w:w="1530" w:type="dxa"/>
          </w:tcPr>
          <w:p>
            <w:pPr>
              <w:keepNext w:val="0"/>
              <w:keepLines w:val="0"/>
              <w:pageBreakBefore w:val="0"/>
              <w:widowControl w:val="0"/>
              <w:kinsoku/>
              <w:wordWrap/>
              <w:topLinePunct w:val="0"/>
              <w:autoSpaceDE/>
              <w:autoSpaceDN/>
              <w:bidi w:val="0"/>
              <w:adjustRightInd/>
              <w:spacing w:line="594" w:lineRule="exact"/>
              <w:textAlignment w:val="auto"/>
            </w:pPr>
          </w:p>
        </w:tc>
        <w:tc>
          <w:tcPr>
            <w:tcW w:w="1587" w:type="dxa"/>
          </w:tcPr>
          <w:p>
            <w:pPr>
              <w:keepNext w:val="0"/>
              <w:keepLines w:val="0"/>
              <w:pageBreakBefore w:val="0"/>
              <w:widowControl w:val="0"/>
              <w:kinsoku/>
              <w:wordWrap/>
              <w:topLinePunct w:val="0"/>
              <w:autoSpaceDE/>
              <w:autoSpaceDN/>
              <w:bidi w:val="0"/>
              <w:adjustRightInd/>
              <w:spacing w:line="594" w:lineRule="exact"/>
              <w:textAlignment w:val="auto"/>
            </w:pPr>
          </w:p>
        </w:tc>
        <w:tc>
          <w:tcPr>
            <w:tcW w:w="1246" w:type="dxa"/>
          </w:tcPr>
          <w:p>
            <w:pPr>
              <w:keepNext w:val="0"/>
              <w:keepLines w:val="0"/>
              <w:pageBreakBefore w:val="0"/>
              <w:widowControl w:val="0"/>
              <w:kinsoku/>
              <w:wordWrap/>
              <w:topLinePunct w:val="0"/>
              <w:autoSpaceDE/>
              <w:autoSpaceDN/>
              <w:bidi w:val="0"/>
              <w:adjustRightInd/>
              <w:spacing w:line="594"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8" w:type="dxa"/>
          </w:tcPr>
          <w:p>
            <w:pPr>
              <w:keepNext w:val="0"/>
              <w:keepLines w:val="0"/>
              <w:pageBreakBefore w:val="0"/>
              <w:widowControl w:val="0"/>
              <w:kinsoku/>
              <w:wordWrap/>
              <w:topLinePunct w:val="0"/>
              <w:autoSpaceDE/>
              <w:autoSpaceDN/>
              <w:bidi w:val="0"/>
              <w:adjustRightInd/>
              <w:spacing w:line="594" w:lineRule="exact"/>
              <w:textAlignment w:val="auto"/>
            </w:pPr>
          </w:p>
        </w:tc>
        <w:tc>
          <w:tcPr>
            <w:tcW w:w="1170" w:type="dxa"/>
          </w:tcPr>
          <w:p>
            <w:pPr>
              <w:keepNext w:val="0"/>
              <w:keepLines w:val="0"/>
              <w:pageBreakBefore w:val="0"/>
              <w:widowControl w:val="0"/>
              <w:kinsoku/>
              <w:wordWrap/>
              <w:topLinePunct w:val="0"/>
              <w:autoSpaceDE/>
              <w:autoSpaceDN/>
              <w:bidi w:val="0"/>
              <w:adjustRightInd/>
              <w:spacing w:line="594" w:lineRule="exact"/>
              <w:textAlignment w:val="auto"/>
            </w:pPr>
          </w:p>
        </w:tc>
        <w:tc>
          <w:tcPr>
            <w:tcW w:w="945" w:type="dxa"/>
          </w:tcPr>
          <w:p>
            <w:pPr>
              <w:keepNext w:val="0"/>
              <w:keepLines w:val="0"/>
              <w:pageBreakBefore w:val="0"/>
              <w:widowControl w:val="0"/>
              <w:kinsoku/>
              <w:wordWrap/>
              <w:topLinePunct w:val="0"/>
              <w:autoSpaceDE/>
              <w:autoSpaceDN/>
              <w:bidi w:val="0"/>
              <w:adjustRightInd/>
              <w:spacing w:line="594" w:lineRule="exact"/>
              <w:textAlignment w:val="auto"/>
            </w:pPr>
          </w:p>
        </w:tc>
        <w:tc>
          <w:tcPr>
            <w:tcW w:w="960" w:type="dxa"/>
          </w:tcPr>
          <w:p>
            <w:pPr>
              <w:keepNext w:val="0"/>
              <w:keepLines w:val="0"/>
              <w:pageBreakBefore w:val="0"/>
              <w:widowControl w:val="0"/>
              <w:kinsoku/>
              <w:wordWrap/>
              <w:topLinePunct w:val="0"/>
              <w:autoSpaceDE/>
              <w:autoSpaceDN/>
              <w:bidi w:val="0"/>
              <w:adjustRightInd/>
              <w:spacing w:line="594" w:lineRule="exact"/>
              <w:textAlignment w:val="auto"/>
            </w:pPr>
          </w:p>
        </w:tc>
        <w:tc>
          <w:tcPr>
            <w:tcW w:w="1530" w:type="dxa"/>
          </w:tcPr>
          <w:p>
            <w:pPr>
              <w:keepNext w:val="0"/>
              <w:keepLines w:val="0"/>
              <w:pageBreakBefore w:val="0"/>
              <w:widowControl w:val="0"/>
              <w:kinsoku/>
              <w:wordWrap/>
              <w:topLinePunct w:val="0"/>
              <w:autoSpaceDE/>
              <w:autoSpaceDN/>
              <w:bidi w:val="0"/>
              <w:adjustRightInd/>
              <w:spacing w:line="594" w:lineRule="exact"/>
              <w:textAlignment w:val="auto"/>
            </w:pPr>
          </w:p>
        </w:tc>
        <w:tc>
          <w:tcPr>
            <w:tcW w:w="1587" w:type="dxa"/>
          </w:tcPr>
          <w:p>
            <w:pPr>
              <w:keepNext w:val="0"/>
              <w:keepLines w:val="0"/>
              <w:pageBreakBefore w:val="0"/>
              <w:widowControl w:val="0"/>
              <w:kinsoku/>
              <w:wordWrap/>
              <w:topLinePunct w:val="0"/>
              <w:autoSpaceDE/>
              <w:autoSpaceDN/>
              <w:bidi w:val="0"/>
              <w:adjustRightInd/>
              <w:spacing w:line="594" w:lineRule="exact"/>
              <w:textAlignment w:val="auto"/>
            </w:pPr>
          </w:p>
        </w:tc>
        <w:tc>
          <w:tcPr>
            <w:tcW w:w="1246" w:type="dxa"/>
          </w:tcPr>
          <w:p>
            <w:pPr>
              <w:keepNext w:val="0"/>
              <w:keepLines w:val="0"/>
              <w:pageBreakBefore w:val="0"/>
              <w:widowControl w:val="0"/>
              <w:kinsoku/>
              <w:wordWrap/>
              <w:topLinePunct w:val="0"/>
              <w:autoSpaceDE/>
              <w:autoSpaceDN/>
              <w:bidi w:val="0"/>
              <w:adjustRightInd/>
              <w:spacing w:line="594"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8" w:type="dxa"/>
          </w:tcPr>
          <w:p>
            <w:pPr>
              <w:keepNext w:val="0"/>
              <w:keepLines w:val="0"/>
              <w:pageBreakBefore w:val="0"/>
              <w:widowControl w:val="0"/>
              <w:kinsoku/>
              <w:wordWrap/>
              <w:topLinePunct w:val="0"/>
              <w:autoSpaceDE/>
              <w:autoSpaceDN/>
              <w:bidi w:val="0"/>
              <w:adjustRightInd/>
              <w:spacing w:line="594" w:lineRule="exact"/>
              <w:textAlignment w:val="auto"/>
            </w:pPr>
          </w:p>
        </w:tc>
        <w:tc>
          <w:tcPr>
            <w:tcW w:w="1170" w:type="dxa"/>
          </w:tcPr>
          <w:p>
            <w:pPr>
              <w:keepNext w:val="0"/>
              <w:keepLines w:val="0"/>
              <w:pageBreakBefore w:val="0"/>
              <w:widowControl w:val="0"/>
              <w:kinsoku/>
              <w:wordWrap/>
              <w:topLinePunct w:val="0"/>
              <w:autoSpaceDE/>
              <w:autoSpaceDN/>
              <w:bidi w:val="0"/>
              <w:adjustRightInd/>
              <w:spacing w:line="594" w:lineRule="exact"/>
              <w:textAlignment w:val="auto"/>
            </w:pPr>
          </w:p>
        </w:tc>
        <w:tc>
          <w:tcPr>
            <w:tcW w:w="945" w:type="dxa"/>
          </w:tcPr>
          <w:p>
            <w:pPr>
              <w:keepNext w:val="0"/>
              <w:keepLines w:val="0"/>
              <w:pageBreakBefore w:val="0"/>
              <w:widowControl w:val="0"/>
              <w:kinsoku/>
              <w:wordWrap/>
              <w:topLinePunct w:val="0"/>
              <w:autoSpaceDE/>
              <w:autoSpaceDN/>
              <w:bidi w:val="0"/>
              <w:adjustRightInd/>
              <w:spacing w:line="594" w:lineRule="exact"/>
              <w:textAlignment w:val="auto"/>
            </w:pPr>
          </w:p>
        </w:tc>
        <w:tc>
          <w:tcPr>
            <w:tcW w:w="960" w:type="dxa"/>
          </w:tcPr>
          <w:p>
            <w:pPr>
              <w:keepNext w:val="0"/>
              <w:keepLines w:val="0"/>
              <w:pageBreakBefore w:val="0"/>
              <w:widowControl w:val="0"/>
              <w:kinsoku/>
              <w:wordWrap/>
              <w:topLinePunct w:val="0"/>
              <w:autoSpaceDE/>
              <w:autoSpaceDN/>
              <w:bidi w:val="0"/>
              <w:adjustRightInd/>
              <w:spacing w:line="594" w:lineRule="exact"/>
              <w:textAlignment w:val="auto"/>
            </w:pPr>
          </w:p>
        </w:tc>
        <w:tc>
          <w:tcPr>
            <w:tcW w:w="1530" w:type="dxa"/>
          </w:tcPr>
          <w:p>
            <w:pPr>
              <w:keepNext w:val="0"/>
              <w:keepLines w:val="0"/>
              <w:pageBreakBefore w:val="0"/>
              <w:widowControl w:val="0"/>
              <w:kinsoku/>
              <w:wordWrap/>
              <w:topLinePunct w:val="0"/>
              <w:autoSpaceDE/>
              <w:autoSpaceDN/>
              <w:bidi w:val="0"/>
              <w:adjustRightInd/>
              <w:spacing w:line="594" w:lineRule="exact"/>
              <w:textAlignment w:val="auto"/>
            </w:pPr>
          </w:p>
        </w:tc>
        <w:tc>
          <w:tcPr>
            <w:tcW w:w="1587" w:type="dxa"/>
          </w:tcPr>
          <w:p>
            <w:pPr>
              <w:keepNext w:val="0"/>
              <w:keepLines w:val="0"/>
              <w:pageBreakBefore w:val="0"/>
              <w:widowControl w:val="0"/>
              <w:kinsoku/>
              <w:wordWrap/>
              <w:topLinePunct w:val="0"/>
              <w:autoSpaceDE/>
              <w:autoSpaceDN/>
              <w:bidi w:val="0"/>
              <w:adjustRightInd/>
              <w:spacing w:line="594" w:lineRule="exact"/>
              <w:textAlignment w:val="auto"/>
            </w:pPr>
          </w:p>
        </w:tc>
        <w:tc>
          <w:tcPr>
            <w:tcW w:w="1246" w:type="dxa"/>
          </w:tcPr>
          <w:p>
            <w:pPr>
              <w:keepNext w:val="0"/>
              <w:keepLines w:val="0"/>
              <w:pageBreakBefore w:val="0"/>
              <w:widowControl w:val="0"/>
              <w:kinsoku/>
              <w:wordWrap/>
              <w:topLinePunct w:val="0"/>
              <w:autoSpaceDE/>
              <w:autoSpaceDN/>
              <w:bidi w:val="0"/>
              <w:adjustRightInd/>
              <w:spacing w:line="594"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8" w:type="dxa"/>
          </w:tcPr>
          <w:p>
            <w:pPr>
              <w:keepNext w:val="0"/>
              <w:keepLines w:val="0"/>
              <w:pageBreakBefore w:val="0"/>
              <w:widowControl w:val="0"/>
              <w:kinsoku/>
              <w:wordWrap/>
              <w:topLinePunct w:val="0"/>
              <w:autoSpaceDE/>
              <w:autoSpaceDN/>
              <w:bidi w:val="0"/>
              <w:adjustRightInd/>
              <w:spacing w:line="594" w:lineRule="exact"/>
              <w:textAlignment w:val="auto"/>
            </w:pPr>
          </w:p>
        </w:tc>
        <w:tc>
          <w:tcPr>
            <w:tcW w:w="1170" w:type="dxa"/>
          </w:tcPr>
          <w:p>
            <w:pPr>
              <w:keepNext w:val="0"/>
              <w:keepLines w:val="0"/>
              <w:pageBreakBefore w:val="0"/>
              <w:widowControl w:val="0"/>
              <w:kinsoku/>
              <w:wordWrap/>
              <w:topLinePunct w:val="0"/>
              <w:autoSpaceDE/>
              <w:autoSpaceDN/>
              <w:bidi w:val="0"/>
              <w:adjustRightInd/>
              <w:spacing w:line="594" w:lineRule="exact"/>
              <w:textAlignment w:val="auto"/>
            </w:pPr>
          </w:p>
        </w:tc>
        <w:tc>
          <w:tcPr>
            <w:tcW w:w="945" w:type="dxa"/>
          </w:tcPr>
          <w:p>
            <w:pPr>
              <w:keepNext w:val="0"/>
              <w:keepLines w:val="0"/>
              <w:pageBreakBefore w:val="0"/>
              <w:widowControl w:val="0"/>
              <w:kinsoku/>
              <w:wordWrap/>
              <w:topLinePunct w:val="0"/>
              <w:autoSpaceDE/>
              <w:autoSpaceDN/>
              <w:bidi w:val="0"/>
              <w:adjustRightInd/>
              <w:spacing w:line="594" w:lineRule="exact"/>
              <w:textAlignment w:val="auto"/>
            </w:pPr>
          </w:p>
        </w:tc>
        <w:tc>
          <w:tcPr>
            <w:tcW w:w="960" w:type="dxa"/>
          </w:tcPr>
          <w:p>
            <w:pPr>
              <w:keepNext w:val="0"/>
              <w:keepLines w:val="0"/>
              <w:pageBreakBefore w:val="0"/>
              <w:widowControl w:val="0"/>
              <w:kinsoku/>
              <w:wordWrap/>
              <w:topLinePunct w:val="0"/>
              <w:autoSpaceDE/>
              <w:autoSpaceDN/>
              <w:bidi w:val="0"/>
              <w:adjustRightInd/>
              <w:spacing w:line="594" w:lineRule="exact"/>
              <w:textAlignment w:val="auto"/>
            </w:pPr>
          </w:p>
        </w:tc>
        <w:tc>
          <w:tcPr>
            <w:tcW w:w="1530" w:type="dxa"/>
          </w:tcPr>
          <w:p>
            <w:pPr>
              <w:keepNext w:val="0"/>
              <w:keepLines w:val="0"/>
              <w:pageBreakBefore w:val="0"/>
              <w:widowControl w:val="0"/>
              <w:kinsoku/>
              <w:wordWrap/>
              <w:topLinePunct w:val="0"/>
              <w:autoSpaceDE/>
              <w:autoSpaceDN/>
              <w:bidi w:val="0"/>
              <w:adjustRightInd/>
              <w:spacing w:line="594" w:lineRule="exact"/>
              <w:textAlignment w:val="auto"/>
            </w:pPr>
          </w:p>
        </w:tc>
        <w:tc>
          <w:tcPr>
            <w:tcW w:w="1587" w:type="dxa"/>
          </w:tcPr>
          <w:p>
            <w:pPr>
              <w:keepNext w:val="0"/>
              <w:keepLines w:val="0"/>
              <w:pageBreakBefore w:val="0"/>
              <w:widowControl w:val="0"/>
              <w:kinsoku/>
              <w:wordWrap/>
              <w:topLinePunct w:val="0"/>
              <w:autoSpaceDE/>
              <w:autoSpaceDN/>
              <w:bidi w:val="0"/>
              <w:adjustRightInd/>
              <w:spacing w:line="594" w:lineRule="exact"/>
              <w:textAlignment w:val="auto"/>
            </w:pPr>
          </w:p>
        </w:tc>
        <w:tc>
          <w:tcPr>
            <w:tcW w:w="1246" w:type="dxa"/>
          </w:tcPr>
          <w:p>
            <w:pPr>
              <w:keepNext w:val="0"/>
              <w:keepLines w:val="0"/>
              <w:pageBreakBefore w:val="0"/>
              <w:widowControl w:val="0"/>
              <w:kinsoku/>
              <w:wordWrap/>
              <w:topLinePunct w:val="0"/>
              <w:autoSpaceDE/>
              <w:autoSpaceDN/>
              <w:bidi w:val="0"/>
              <w:adjustRightInd/>
              <w:spacing w:line="594"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8" w:type="dxa"/>
          </w:tcPr>
          <w:p>
            <w:pPr>
              <w:keepNext w:val="0"/>
              <w:keepLines w:val="0"/>
              <w:pageBreakBefore w:val="0"/>
              <w:widowControl w:val="0"/>
              <w:kinsoku/>
              <w:wordWrap/>
              <w:topLinePunct w:val="0"/>
              <w:autoSpaceDE/>
              <w:autoSpaceDN/>
              <w:bidi w:val="0"/>
              <w:adjustRightInd/>
              <w:spacing w:line="594" w:lineRule="exact"/>
              <w:textAlignment w:val="auto"/>
            </w:pPr>
          </w:p>
        </w:tc>
        <w:tc>
          <w:tcPr>
            <w:tcW w:w="1170" w:type="dxa"/>
          </w:tcPr>
          <w:p>
            <w:pPr>
              <w:keepNext w:val="0"/>
              <w:keepLines w:val="0"/>
              <w:pageBreakBefore w:val="0"/>
              <w:widowControl w:val="0"/>
              <w:kinsoku/>
              <w:wordWrap/>
              <w:topLinePunct w:val="0"/>
              <w:autoSpaceDE/>
              <w:autoSpaceDN/>
              <w:bidi w:val="0"/>
              <w:adjustRightInd/>
              <w:spacing w:line="594" w:lineRule="exact"/>
              <w:textAlignment w:val="auto"/>
            </w:pPr>
          </w:p>
        </w:tc>
        <w:tc>
          <w:tcPr>
            <w:tcW w:w="945" w:type="dxa"/>
          </w:tcPr>
          <w:p>
            <w:pPr>
              <w:keepNext w:val="0"/>
              <w:keepLines w:val="0"/>
              <w:pageBreakBefore w:val="0"/>
              <w:widowControl w:val="0"/>
              <w:kinsoku/>
              <w:wordWrap/>
              <w:topLinePunct w:val="0"/>
              <w:autoSpaceDE/>
              <w:autoSpaceDN/>
              <w:bidi w:val="0"/>
              <w:adjustRightInd/>
              <w:spacing w:line="594" w:lineRule="exact"/>
              <w:textAlignment w:val="auto"/>
            </w:pPr>
          </w:p>
        </w:tc>
        <w:tc>
          <w:tcPr>
            <w:tcW w:w="960" w:type="dxa"/>
          </w:tcPr>
          <w:p>
            <w:pPr>
              <w:keepNext w:val="0"/>
              <w:keepLines w:val="0"/>
              <w:pageBreakBefore w:val="0"/>
              <w:widowControl w:val="0"/>
              <w:kinsoku/>
              <w:wordWrap/>
              <w:topLinePunct w:val="0"/>
              <w:autoSpaceDE/>
              <w:autoSpaceDN/>
              <w:bidi w:val="0"/>
              <w:adjustRightInd/>
              <w:spacing w:line="594" w:lineRule="exact"/>
              <w:textAlignment w:val="auto"/>
            </w:pPr>
          </w:p>
        </w:tc>
        <w:tc>
          <w:tcPr>
            <w:tcW w:w="1530" w:type="dxa"/>
          </w:tcPr>
          <w:p>
            <w:pPr>
              <w:keepNext w:val="0"/>
              <w:keepLines w:val="0"/>
              <w:pageBreakBefore w:val="0"/>
              <w:widowControl w:val="0"/>
              <w:kinsoku/>
              <w:wordWrap/>
              <w:topLinePunct w:val="0"/>
              <w:autoSpaceDE/>
              <w:autoSpaceDN/>
              <w:bidi w:val="0"/>
              <w:adjustRightInd/>
              <w:spacing w:line="594" w:lineRule="exact"/>
              <w:textAlignment w:val="auto"/>
            </w:pPr>
          </w:p>
        </w:tc>
        <w:tc>
          <w:tcPr>
            <w:tcW w:w="1587" w:type="dxa"/>
          </w:tcPr>
          <w:p>
            <w:pPr>
              <w:keepNext w:val="0"/>
              <w:keepLines w:val="0"/>
              <w:pageBreakBefore w:val="0"/>
              <w:widowControl w:val="0"/>
              <w:kinsoku/>
              <w:wordWrap/>
              <w:topLinePunct w:val="0"/>
              <w:autoSpaceDE/>
              <w:autoSpaceDN/>
              <w:bidi w:val="0"/>
              <w:adjustRightInd/>
              <w:spacing w:line="594" w:lineRule="exact"/>
              <w:textAlignment w:val="auto"/>
            </w:pPr>
          </w:p>
        </w:tc>
        <w:tc>
          <w:tcPr>
            <w:tcW w:w="1246" w:type="dxa"/>
          </w:tcPr>
          <w:p>
            <w:pPr>
              <w:keepNext w:val="0"/>
              <w:keepLines w:val="0"/>
              <w:pageBreakBefore w:val="0"/>
              <w:widowControl w:val="0"/>
              <w:kinsoku/>
              <w:wordWrap/>
              <w:topLinePunct w:val="0"/>
              <w:autoSpaceDE/>
              <w:autoSpaceDN/>
              <w:bidi w:val="0"/>
              <w:adjustRightInd/>
              <w:spacing w:line="594" w:lineRule="exact"/>
              <w:textAlignment w:val="auto"/>
            </w:pPr>
          </w:p>
        </w:tc>
      </w:tr>
    </w:tbl>
    <w:p>
      <w:pPr>
        <w:keepNext w:val="0"/>
        <w:keepLines w:val="0"/>
        <w:pageBreakBefore w:val="0"/>
        <w:widowControl w:val="0"/>
        <w:kinsoku/>
        <w:wordWrap/>
        <w:overflowPunct w:val="0"/>
        <w:topLinePunct w:val="0"/>
        <w:autoSpaceDE/>
        <w:autoSpaceDN/>
        <w:bidi w:val="0"/>
        <w:adjustRightInd/>
        <w:snapToGrid w:val="0"/>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以上建筑物系公共场所、公用设施，属全体业主共同所有。</w:t>
      </w:r>
    </w:p>
    <w:p>
      <w:pPr>
        <w:keepNext w:val="0"/>
        <w:keepLines w:val="0"/>
        <w:pageBreakBefore w:val="0"/>
        <w:widowControl w:val="0"/>
        <w:kinsoku/>
        <w:wordWrap/>
        <w:overflowPunct w:val="0"/>
        <w:topLinePunct w:val="0"/>
        <w:autoSpaceDE/>
        <w:autoSpaceDN/>
        <w:bidi w:val="0"/>
        <w:adjustRightInd/>
        <w:snapToGrid w:val="0"/>
        <w:spacing w:line="594" w:lineRule="exact"/>
        <w:ind w:left="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adjustRightInd/>
        <w:snapToGrid w:val="0"/>
        <w:spacing w:line="594" w:lineRule="exact"/>
        <w:ind w:left="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adjustRightInd/>
        <w:snapToGrid w:val="0"/>
        <w:spacing w:line="594"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单位名称（公章）：</w:t>
      </w:r>
    </w:p>
    <w:p>
      <w:pPr>
        <w:keepNext w:val="0"/>
        <w:keepLines w:val="0"/>
        <w:pageBreakBefore w:val="0"/>
        <w:widowControl w:val="0"/>
        <w:kinsoku/>
        <w:wordWrap/>
        <w:overflowPunct w:val="0"/>
        <w:topLinePunct w:val="0"/>
        <w:autoSpaceDE/>
        <w:autoSpaceDN/>
        <w:bidi w:val="0"/>
        <w:adjustRightInd/>
        <w:snapToGrid w:val="0"/>
        <w:spacing w:line="594"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rPr>
          <w:rFonts w:hint="eastAsia" w:ascii="方正仿宋_GBK" w:hAnsi="方正仿宋_GBK" w:eastAsia="方正仿宋_GBK" w:cs="方正仿宋_GBK"/>
          <w:sz w:val="32"/>
          <w:szCs w:val="32"/>
        </w:rPr>
      </w:pPr>
    </w:p>
    <w:p>
      <w:pPr>
        <w:rPr>
          <w:rFonts w:hint="eastAsia"/>
        </w:rPr>
      </w:pPr>
    </w:p>
    <w:p/>
    <w:sectPr>
      <w:pgSz w:w="11906" w:h="16838"/>
      <w:pgMar w:top="1984" w:right="1446" w:bottom="164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2290E6"/>
    <w:multiLevelType w:val="singleLevel"/>
    <w:tmpl w:val="A02290E6"/>
    <w:lvl w:ilvl="0" w:tentative="0">
      <w:start w:val="1"/>
      <w:numFmt w:val="decimal"/>
      <w:suff w:val="space"/>
      <w:lvlText w:val="%1."/>
      <w:lvlJc w:val="left"/>
    </w:lvl>
  </w:abstractNum>
  <w:abstractNum w:abstractNumId="1">
    <w:nsid w:val="B9EA42C4"/>
    <w:multiLevelType w:val="singleLevel"/>
    <w:tmpl w:val="B9EA42C4"/>
    <w:lvl w:ilvl="0" w:tentative="0">
      <w:start w:val="5"/>
      <w:numFmt w:val="chineseCounting"/>
      <w:suff w:val="nothing"/>
      <w:lvlText w:val="%1、"/>
      <w:lvlJc w:val="left"/>
      <w:rPr>
        <w:rFonts w:hint="eastAsia"/>
      </w:rPr>
    </w:lvl>
  </w:abstractNum>
  <w:abstractNum w:abstractNumId="2">
    <w:nsid w:val="4A0A0C07"/>
    <w:multiLevelType w:val="singleLevel"/>
    <w:tmpl w:val="4A0A0C07"/>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9A5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1"/>
    <w:pPr>
      <w:ind w:left="100" w:firstLine="559"/>
      <w:jc w:val="left"/>
    </w:pPr>
    <w:rPr>
      <w:rFonts w:ascii="宋体" w:hAnsi="宋体"/>
      <w:kern w:val="0"/>
      <w:sz w:val="28"/>
      <w:szCs w:val="2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2022-03-08T07:13:54Z</dcterms:created>
  <dc:creator>HP-912-9</dc:creator>
  <cp:lastModifiedBy>毛序</cp:lastModifiedBy>
  <dcterms:modified xsi:type="dcterms:W3CDTF">2022-03-08T07:14:06Z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